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FE" w:rsidRDefault="006F70BE" w:rsidP="006F70B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B07D934">
            <wp:extent cx="4140000" cy="2924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924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0BE" w:rsidRDefault="00FE0A48" w:rsidP="006F70BE">
      <w:pPr>
        <w:pStyle w:val="NoSpacing"/>
        <w:jc w:val="center"/>
        <w:rPr>
          <w:rFonts w:ascii="Verdana" w:eastAsiaTheme="majorEastAsia" w:hAnsi="Verdana" w:cstheme="majorBidi"/>
          <w:color w:val="4F81BD" w:themeColor="accent1"/>
          <w:sz w:val="72"/>
          <w:szCs w:val="72"/>
        </w:rPr>
      </w:pPr>
      <w:r>
        <w:rPr>
          <w:rFonts w:ascii="Verdana" w:eastAsiaTheme="majorEastAsia" w:hAnsi="Verdana" w:cstheme="majorBidi"/>
          <w:color w:val="4F81BD" w:themeColor="accent1"/>
          <w:sz w:val="72"/>
          <w:szCs w:val="72"/>
        </w:rPr>
        <w:t>201</w:t>
      </w:r>
      <w:r w:rsidR="00B346AB">
        <w:rPr>
          <w:rFonts w:ascii="Verdana" w:eastAsiaTheme="majorEastAsia" w:hAnsi="Verdana" w:cstheme="majorBidi"/>
          <w:color w:val="4F81BD" w:themeColor="accent1"/>
          <w:sz w:val="72"/>
          <w:szCs w:val="72"/>
        </w:rPr>
        <w:t>7/1</w:t>
      </w:r>
      <w:r>
        <w:rPr>
          <w:rFonts w:ascii="Verdana" w:eastAsiaTheme="majorEastAsia" w:hAnsi="Verdana" w:cstheme="majorBidi"/>
          <w:color w:val="4F81BD" w:themeColor="accent1"/>
          <w:sz w:val="72"/>
          <w:szCs w:val="72"/>
        </w:rPr>
        <w:t>8</w:t>
      </w:r>
      <w:r w:rsidR="006F70BE">
        <w:rPr>
          <w:rFonts w:ascii="Verdana" w:eastAsiaTheme="majorEastAsia" w:hAnsi="Verdana" w:cstheme="majorBidi"/>
          <w:color w:val="4F81BD" w:themeColor="accent1"/>
          <w:sz w:val="72"/>
          <w:szCs w:val="72"/>
        </w:rPr>
        <w:t xml:space="preserve"> </w:t>
      </w:r>
      <w:sdt>
        <w:sdtPr>
          <w:rPr>
            <w:rFonts w:ascii="Verdana" w:eastAsiaTheme="majorEastAsia" w:hAnsi="Verdana" w:cstheme="majorBidi"/>
            <w:color w:val="4F81BD" w:themeColor="accent1"/>
            <w:sz w:val="72"/>
            <w:szCs w:val="72"/>
          </w:rPr>
          <w:alias w:val="Title"/>
          <w:id w:val="1340691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45F49">
            <w:rPr>
              <w:rFonts w:ascii="Verdana" w:eastAsiaTheme="majorEastAsia" w:hAnsi="Verdana" w:cstheme="majorBidi"/>
              <w:color w:val="4F81BD" w:themeColor="accent1"/>
              <w:sz w:val="72"/>
              <w:szCs w:val="72"/>
            </w:rPr>
            <w:t>Personal Academic Tutoring   Staff Survey Report</w:t>
          </w:r>
        </w:sdtContent>
      </w:sdt>
    </w:p>
    <w:p w:rsidR="006F70BE" w:rsidRDefault="006F70BE" w:rsidP="006F70BE">
      <w:pPr>
        <w:jc w:val="center"/>
      </w:pPr>
    </w:p>
    <w:p w:rsidR="006F70BE" w:rsidRDefault="006F70BE" w:rsidP="006F70BE">
      <w:pPr>
        <w:jc w:val="center"/>
      </w:pPr>
    </w:p>
    <w:p w:rsidR="006F70BE" w:rsidRDefault="006F70BE" w:rsidP="006F70BE">
      <w:pPr>
        <w:jc w:val="center"/>
      </w:pPr>
    </w:p>
    <w:p w:rsidR="006F70BE" w:rsidRDefault="006F70BE" w:rsidP="006F70BE">
      <w:pPr>
        <w:jc w:val="center"/>
      </w:pPr>
    </w:p>
    <w:p w:rsidR="006F70BE" w:rsidRDefault="006F70BE" w:rsidP="006F70BE">
      <w:pPr>
        <w:jc w:val="center"/>
      </w:pPr>
    </w:p>
    <w:p w:rsidR="006F70BE" w:rsidRDefault="006F70BE" w:rsidP="006F70BE">
      <w:pPr>
        <w:jc w:val="center"/>
      </w:pPr>
    </w:p>
    <w:p w:rsidR="006F70BE" w:rsidRDefault="00F4184C" w:rsidP="00F4184C">
      <w:pPr>
        <w:tabs>
          <w:tab w:val="left" w:pos="6982"/>
        </w:tabs>
      </w:pPr>
      <w:r>
        <w:tab/>
      </w:r>
    </w:p>
    <w:p w:rsidR="006F70BE" w:rsidRDefault="006F70BE" w:rsidP="006F70BE">
      <w:pPr>
        <w:jc w:val="center"/>
      </w:pPr>
    </w:p>
    <w:p w:rsidR="006F70BE" w:rsidRDefault="006F70BE" w:rsidP="006F70BE">
      <w:pPr>
        <w:jc w:val="center"/>
      </w:pPr>
    </w:p>
    <w:p w:rsidR="00FE0A48" w:rsidRDefault="00FE0A48" w:rsidP="006F70BE">
      <w:pPr>
        <w:jc w:val="center"/>
      </w:pPr>
    </w:p>
    <w:p w:rsidR="006F70BE" w:rsidRPr="00802176" w:rsidRDefault="00B346AB" w:rsidP="006F70BE">
      <w:pPr>
        <w:pStyle w:val="NoSpacing"/>
        <w:framePr w:hSpace="187" w:wrap="around" w:hAnchor="margin" w:xAlign="center" w:yAlign="bottom"/>
        <w:rPr>
          <w:rFonts w:ascii="Verdana" w:hAnsi="Verdana"/>
          <w:color w:val="4F81BD" w:themeColor="accent1"/>
        </w:rPr>
      </w:pPr>
      <w:r>
        <w:rPr>
          <w:rFonts w:ascii="Verdana" w:hAnsi="Verdana"/>
          <w:color w:val="4F81BD" w:themeColor="accent1"/>
        </w:rPr>
        <w:t xml:space="preserve">Emily Fletcher </w:t>
      </w:r>
    </w:p>
    <w:p w:rsidR="006F70BE" w:rsidRPr="00802176" w:rsidRDefault="006F70BE" w:rsidP="006F70BE">
      <w:pPr>
        <w:pStyle w:val="NoSpacing"/>
        <w:framePr w:hSpace="187" w:wrap="around" w:hAnchor="margin" w:xAlign="center" w:yAlign="bottom"/>
        <w:rPr>
          <w:rFonts w:ascii="Verdana" w:hAnsi="Verdana"/>
          <w:color w:val="4F81BD" w:themeColor="accent1"/>
        </w:rPr>
      </w:pPr>
      <w:r w:rsidRPr="00802176">
        <w:rPr>
          <w:rFonts w:ascii="Verdana" w:hAnsi="Verdana"/>
          <w:color w:val="4F81BD" w:themeColor="accent1"/>
        </w:rPr>
        <w:t xml:space="preserve">Business Intelligence and Management Information Unit </w:t>
      </w:r>
    </w:p>
    <w:p w:rsidR="006F70BE" w:rsidRPr="00802176" w:rsidRDefault="00CF6C5B" w:rsidP="006F70BE">
      <w:pPr>
        <w:pStyle w:val="NoSpacing"/>
        <w:framePr w:hSpace="187" w:wrap="around" w:hAnchor="margin" w:xAlign="center" w:yAlign="bottom"/>
        <w:rPr>
          <w:rFonts w:ascii="Verdana" w:hAnsi="Verdana"/>
          <w:color w:val="4F81BD" w:themeColor="accent1"/>
        </w:rPr>
      </w:pPr>
      <w:r>
        <w:rPr>
          <w:rFonts w:ascii="Verdana" w:hAnsi="Verdana"/>
          <w:color w:val="4F81BD" w:themeColor="accent1"/>
          <w:lang w:val="en-US"/>
        </w:rPr>
        <w:t>June</w:t>
      </w:r>
      <w:r w:rsidR="00FE0A48">
        <w:rPr>
          <w:rFonts w:ascii="Verdana" w:hAnsi="Verdana"/>
          <w:color w:val="4F81BD" w:themeColor="accent1"/>
          <w:lang w:val="en-US"/>
        </w:rPr>
        <w:t xml:space="preserve"> 2018</w:t>
      </w:r>
      <w:r w:rsidR="006F70BE" w:rsidRPr="00802176">
        <w:rPr>
          <w:rFonts w:ascii="Verdana" w:hAnsi="Verdana"/>
          <w:color w:val="4F81BD" w:themeColor="accent1"/>
          <w:lang w:val="en-US"/>
        </w:rPr>
        <w:t xml:space="preserve"> </w:t>
      </w:r>
    </w:p>
    <w:p w:rsidR="006F70BE" w:rsidRDefault="006F70BE" w:rsidP="006F70BE">
      <w:pPr>
        <w:pStyle w:val="NoSpacing"/>
        <w:framePr w:hSpace="187" w:wrap="around" w:hAnchor="margin" w:xAlign="center" w:yAlign="bottom"/>
        <w:rPr>
          <w:rFonts w:ascii="Verdana" w:hAnsi="Verdana"/>
          <w:color w:val="4F81BD" w:themeColor="accent1"/>
        </w:rPr>
      </w:pPr>
    </w:p>
    <w:p w:rsidR="006F70BE" w:rsidRPr="00802176" w:rsidRDefault="006F70BE" w:rsidP="006F70BE">
      <w:pPr>
        <w:pStyle w:val="NoSpacing"/>
        <w:framePr w:hSpace="187" w:wrap="around" w:hAnchor="margin" w:xAlign="center" w:yAlign="bottom"/>
        <w:rPr>
          <w:rFonts w:ascii="Verdana" w:hAnsi="Verdana"/>
          <w:color w:val="4F81BD" w:themeColor="accent1"/>
        </w:rPr>
      </w:pPr>
      <w:r>
        <w:rPr>
          <w:rFonts w:ascii="Verdana" w:hAnsi="Verdana"/>
          <w:color w:val="4F81BD" w:themeColor="accent1"/>
        </w:rPr>
        <w:t>For Internal Use Only</w:t>
      </w:r>
    </w:p>
    <w:p w:rsidR="006F70BE" w:rsidRDefault="006F70BE" w:rsidP="006F70BE"/>
    <w:p w:rsidR="00851448" w:rsidRPr="00851448" w:rsidRDefault="00851448" w:rsidP="00851448">
      <w:pPr>
        <w:pStyle w:val="Heading2"/>
        <w:rPr>
          <w:rFonts w:ascii="Verdana" w:hAnsi="Verdana"/>
          <w:sz w:val="28"/>
          <w:szCs w:val="28"/>
        </w:rPr>
      </w:pPr>
      <w:bookmarkStart w:id="1" w:name="_Toc516065538"/>
      <w:bookmarkStart w:id="2" w:name="_Toc516145472"/>
      <w:bookmarkStart w:id="3" w:name="_Toc516147511"/>
      <w:r w:rsidRPr="00851448">
        <w:rPr>
          <w:rFonts w:ascii="Verdana" w:hAnsi="Verdana"/>
          <w:sz w:val="28"/>
          <w:szCs w:val="28"/>
        </w:rPr>
        <w:t>Contents</w:t>
      </w:r>
      <w:bookmarkEnd w:id="1"/>
      <w:bookmarkEnd w:id="2"/>
      <w:bookmarkEnd w:id="3"/>
    </w:p>
    <w:p w:rsidR="00B71FAB" w:rsidRDefault="00851448">
      <w:pPr>
        <w:pStyle w:val="TOC2"/>
        <w:tabs>
          <w:tab w:val="right" w:pos="9016"/>
        </w:tabs>
        <w:rPr>
          <w:rFonts w:eastAsiaTheme="minorEastAsia"/>
          <w:b w:val="0"/>
          <w:bCs w:val="0"/>
          <w:noProof/>
          <w:sz w:val="22"/>
          <w:szCs w:val="22"/>
          <w:lang w:eastAsia="en-GB"/>
        </w:rPr>
      </w:pPr>
      <w:r w:rsidRPr="007506AD">
        <w:rPr>
          <w:rFonts w:ascii="Verdana" w:hAnsi="Verdana"/>
          <w:sz w:val="16"/>
          <w:szCs w:val="16"/>
        </w:rPr>
        <w:fldChar w:fldCharType="begin"/>
      </w:r>
      <w:r w:rsidRPr="007506AD">
        <w:rPr>
          <w:rFonts w:ascii="Verdana" w:hAnsi="Verdana"/>
          <w:sz w:val="16"/>
          <w:szCs w:val="16"/>
        </w:rPr>
        <w:instrText xml:space="preserve"> TOC \o "1-3" \h \z \u </w:instrText>
      </w:r>
      <w:r w:rsidRPr="007506AD">
        <w:rPr>
          <w:rFonts w:ascii="Verdana" w:hAnsi="Verdana"/>
          <w:sz w:val="16"/>
          <w:szCs w:val="16"/>
        </w:rPr>
        <w:fldChar w:fldCharType="separate"/>
      </w:r>
    </w:p>
    <w:p w:rsidR="00B71FAB" w:rsidRDefault="0065083C">
      <w:pPr>
        <w:pStyle w:val="TOC2"/>
        <w:tabs>
          <w:tab w:val="left" w:pos="440"/>
          <w:tab w:val="right" w:pos="9016"/>
        </w:tabs>
        <w:rPr>
          <w:rFonts w:eastAsiaTheme="minorEastAsia"/>
          <w:b w:val="0"/>
          <w:bCs w:val="0"/>
          <w:noProof/>
          <w:sz w:val="22"/>
          <w:szCs w:val="22"/>
          <w:lang w:eastAsia="en-GB"/>
        </w:rPr>
      </w:pPr>
      <w:hyperlink w:anchor="_Toc516147512" w:history="1">
        <w:r w:rsidR="00B71FAB" w:rsidRPr="00CE32E1">
          <w:rPr>
            <w:rStyle w:val="Hyperlink"/>
            <w:rFonts w:ascii="Verdana" w:hAnsi="Verdana"/>
            <w:noProof/>
          </w:rPr>
          <w:t>1.</w:t>
        </w:r>
        <w:r w:rsidR="00B71FAB">
          <w:rPr>
            <w:rFonts w:eastAsiaTheme="minorEastAsia"/>
            <w:b w:val="0"/>
            <w:bCs w:val="0"/>
            <w:noProof/>
            <w:sz w:val="22"/>
            <w:szCs w:val="22"/>
            <w:lang w:eastAsia="en-GB"/>
          </w:rPr>
          <w:tab/>
        </w:r>
        <w:r w:rsidR="00B71FAB" w:rsidRPr="00CE32E1">
          <w:rPr>
            <w:rStyle w:val="Hyperlink"/>
            <w:rFonts w:ascii="Verdana" w:hAnsi="Verdana"/>
            <w:noProof/>
          </w:rPr>
          <w:t>Introduction</w:t>
        </w:r>
        <w:r w:rsidR="00B71FAB">
          <w:rPr>
            <w:noProof/>
            <w:webHidden/>
          </w:rPr>
          <w:tab/>
        </w:r>
        <w:r w:rsidR="00B71FAB">
          <w:rPr>
            <w:noProof/>
            <w:webHidden/>
          </w:rPr>
          <w:fldChar w:fldCharType="begin"/>
        </w:r>
        <w:r w:rsidR="00B71FAB">
          <w:rPr>
            <w:noProof/>
            <w:webHidden/>
          </w:rPr>
          <w:instrText xml:space="preserve"> PAGEREF _Toc516147512 \h </w:instrText>
        </w:r>
        <w:r w:rsidR="00B71FAB">
          <w:rPr>
            <w:noProof/>
            <w:webHidden/>
          </w:rPr>
        </w:r>
        <w:r w:rsidR="00B71FAB">
          <w:rPr>
            <w:noProof/>
            <w:webHidden/>
          </w:rPr>
          <w:fldChar w:fldCharType="separate"/>
        </w:r>
        <w:r w:rsidR="00B71FAB">
          <w:rPr>
            <w:noProof/>
            <w:webHidden/>
          </w:rPr>
          <w:t>1</w:t>
        </w:r>
        <w:r w:rsidR="00B71FAB">
          <w:rPr>
            <w:noProof/>
            <w:webHidden/>
          </w:rPr>
          <w:fldChar w:fldCharType="end"/>
        </w:r>
      </w:hyperlink>
    </w:p>
    <w:p w:rsidR="00B71FAB" w:rsidRDefault="0065083C">
      <w:pPr>
        <w:pStyle w:val="TOC2"/>
        <w:tabs>
          <w:tab w:val="left" w:pos="440"/>
          <w:tab w:val="right" w:pos="9016"/>
        </w:tabs>
        <w:rPr>
          <w:rFonts w:eastAsiaTheme="minorEastAsia"/>
          <w:b w:val="0"/>
          <w:bCs w:val="0"/>
          <w:noProof/>
          <w:sz w:val="22"/>
          <w:szCs w:val="22"/>
          <w:lang w:eastAsia="en-GB"/>
        </w:rPr>
      </w:pPr>
      <w:hyperlink w:anchor="_Toc516147513" w:history="1">
        <w:r w:rsidR="00B71FAB" w:rsidRPr="00CE32E1">
          <w:rPr>
            <w:rStyle w:val="Hyperlink"/>
            <w:rFonts w:ascii="Verdana" w:hAnsi="Verdana"/>
            <w:noProof/>
          </w:rPr>
          <w:t>2.</w:t>
        </w:r>
        <w:r w:rsidR="00B71FAB">
          <w:rPr>
            <w:rFonts w:eastAsiaTheme="minorEastAsia"/>
            <w:b w:val="0"/>
            <w:bCs w:val="0"/>
            <w:noProof/>
            <w:sz w:val="22"/>
            <w:szCs w:val="22"/>
            <w:lang w:eastAsia="en-GB"/>
          </w:rPr>
          <w:tab/>
        </w:r>
        <w:r w:rsidR="00B71FAB" w:rsidRPr="00CE32E1">
          <w:rPr>
            <w:rStyle w:val="Hyperlink"/>
            <w:rFonts w:ascii="Verdana" w:hAnsi="Verdana"/>
            <w:noProof/>
          </w:rPr>
          <w:t>Key Findings</w:t>
        </w:r>
        <w:r w:rsidR="00B71FAB">
          <w:rPr>
            <w:noProof/>
            <w:webHidden/>
          </w:rPr>
          <w:tab/>
        </w:r>
        <w:r w:rsidR="00B71FAB">
          <w:rPr>
            <w:noProof/>
            <w:webHidden/>
          </w:rPr>
          <w:fldChar w:fldCharType="begin"/>
        </w:r>
        <w:r w:rsidR="00B71FAB">
          <w:rPr>
            <w:noProof/>
            <w:webHidden/>
          </w:rPr>
          <w:instrText xml:space="preserve"> PAGEREF _Toc516147513 \h </w:instrText>
        </w:r>
        <w:r w:rsidR="00B71FAB">
          <w:rPr>
            <w:noProof/>
            <w:webHidden/>
          </w:rPr>
        </w:r>
        <w:r w:rsidR="00B71FAB">
          <w:rPr>
            <w:noProof/>
            <w:webHidden/>
          </w:rPr>
          <w:fldChar w:fldCharType="separate"/>
        </w:r>
        <w:r w:rsidR="00B71FAB">
          <w:rPr>
            <w:noProof/>
            <w:webHidden/>
          </w:rPr>
          <w:t>2</w:t>
        </w:r>
        <w:r w:rsidR="00B71FAB">
          <w:rPr>
            <w:noProof/>
            <w:webHidden/>
          </w:rPr>
          <w:fldChar w:fldCharType="end"/>
        </w:r>
      </w:hyperlink>
    </w:p>
    <w:p w:rsidR="00B71FAB" w:rsidRDefault="0065083C">
      <w:pPr>
        <w:pStyle w:val="TOC2"/>
        <w:tabs>
          <w:tab w:val="right" w:pos="9016"/>
        </w:tabs>
        <w:rPr>
          <w:rFonts w:eastAsiaTheme="minorEastAsia"/>
          <w:b w:val="0"/>
          <w:bCs w:val="0"/>
          <w:noProof/>
          <w:sz w:val="22"/>
          <w:szCs w:val="22"/>
          <w:lang w:eastAsia="en-GB"/>
        </w:rPr>
      </w:pPr>
      <w:hyperlink w:anchor="_Toc516147514" w:history="1">
        <w:r w:rsidR="00B71FAB" w:rsidRPr="00CE32E1">
          <w:rPr>
            <w:rStyle w:val="Hyperlink"/>
            <w:rFonts w:ascii="Verdana" w:hAnsi="Verdana"/>
            <w:noProof/>
          </w:rPr>
          <w:t>Appendices</w:t>
        </w:r>
        <w:r w:rsidR="00B71FAB">
          <w:rPr>
            <w:noProof/>
            <w:webHidden/>
          </w:rPr>
          <w:tab/>
        </w:r>
        <w:r w:rsidR="00B71FAB">
          <w:rPr>
            <w:noProof/>
            <w:webHidden/>
          </w:rPr>
          <w:fldChar w:fldCharType="begin"/>
        </w:r>
        <w:r w:rsidR="00B71FAB">
          <w:rPr>
            <w:noProof/>
            <w:webHidden/>
          </w:rPr>
          <w:instrText xml:space="preserve"> PAGEREF _Toc516147514 \h </w:instrText>
        </w:r>
        <w:r w:rsidR="00B71FAB">
          <w:rPr>
            <w:noProof/>
            <w:webHidden/>
          </w:rPr>
        </w:r>
        <w:r w:rsidR="00B71FAB">
          <w:rPr>
            <w:noProof/>
            <w:webHidden/>
          </w:rPr>
          <w:fldChar w:fldCharType="separate"/>
        </w:r>
        <w:r w:rsidR="00B71FAB">
          <w:rPr>
            <w:noProof/>
            <w:webHidden/>
          </w:rPr>
          <w:t>5</w:t>
        </w:r>
        <w:r w:rsidR="00B71FAB">
          <w:rPr>
            <w:noProof/>
            <w:webHidden/>
          </w:rPr>
          <w:fldChar w:fldCharType="end"/>
        </w:r>
      </w:hyperlink>
    </w:p>
    <w:p w:rsidR="00B71FAB" w:rsidRDefault="0065083C">
      <w:pPr>
        <w:pStyle w:val="TOC2"/>
        <w:tabs>
          <w:tab w:val="right" w:pos="9016"/>
        </w:tabs>
        <w:rPr>
          <w:rFonts w:eastAsiaTheme="minorEastAsia"/>
          <w:b w:val="0"/>
          <w:bCs w:val="0"/>
          <w:noProof/>
          <w:sz w:val="22"/>
          <w:szCs w:val="22"/>
          <w:lang w:eastAsia="en-GB"/>
        </w:rPr>
      </w:pPr>
      <w:hyperlink w:anchor="_Toc516147515" w:history="1">
        <w:r w:rsidR="00B71FAB" w:rsidRPr="00CE32E1">
          <w:rPr>
            <w:rStyle w:val="Hyperlink"/>
            <w:noProof/>
          </w:rPr>
          <w:t>APPENDIX 1: Response Rates</w:t>
        </w:r>
        <w:r w:rsidR="00B71FAB">
          <w:rPr>
            <w:noProof/>
            <w:webHidden/>
          </w:rPr>
          <w:tab/>
        </w:r>
        <w:r w:rsidR="00B71FAB">
          <w:rPr>
            <w:noProof/>
            <w:webHidden/>
          </w:rPr>
          <w:fldChar w:fldCharType="begin"/>
        </w:r>
        <w:r w:rsidR="00B71FAB">
          <w:rPr>
            <w:noProof/>
            <w:webHidden/>
          </w:rPr>
          <w:instrText xml:space="preserve"> PAGEREF _Toc516147515 \h </w:instrText>
        </w:r>
        <w:r w:rsidR="00B71FAB">
          <w:rPr>
            <w:noProof/>
            <w:webHidden/>
          </w:rPr>
        </w:r>
        <w:r w:rsidR="00B71FAB">
          <w:rPr>
            <w:noProof/>
            <w:webHidden/>
          </w:rPr>
          <w:fldChar w:fldCharType="separate"/>
        </w:r>
        <w:r w:rsidR="00B71FAB">
          <w:rPr>
            <w:noProof/>
            <w:webHidden/>
          </w:rPr>
          <w:t>6</w:t>
        </w:r>
        <w:r w:rsidR="00B71FAB">
          <w:rPr>
            <w:noProof/>
            <w:webHidden/>
          </w:rPr>
          <w:fldChar w:fldCharType="end"/>
        </w:r>
      </w:hyperlink>
    </w:p>
    <w:p w:rsidR="00B71FAB" w:rsidRDefault="0065083C">
      <w:pPr>
        <w:pStyle w:val="TOC2"/>
        <w:tabs>
          <w:tab w:val="right" w:pos="9016"/>
        </w:tabs>
        <w:rPr>
          <w:rFonts w:eastAsiaTheme="minorEastAsia"/>
          <w:b w:val="0"/>
          <w:bCs w:val="0"/>
          <w:noProof/>
          <w:sz w:val="22"/>
          <w:szCs w:val="22"/>
          <w:lang w:eastAsia="en-GB"/>
        </w:rPr>
      </w:pPr>
      <w:hyperlink w:anchor="_Toc516147516" w:history="1">
        <w:r w:rsidR="00B71FAB" w:rsidRPr="00CE32E1">
          <w:rPr>
            <w:rStyle w:val="Hyperlink"/>
            <w:noProof/>
          </w:rPr>
          <w:t>APPENDIX 2:  University of Northampton Results</w:t>
        </w:r>
        <w:r w:rsidR="00B71FAB">
          <w:rPr>
            <w:noProof/>
            <w:webHidden/>
          </w:rPr>
          <w:tab/>
        </w:r>
        <w:r w:rsidR="00B71FAB">
          <w:rPr>
            <w:noProof/>
            <w:webHidden/>
          </w:rPr>
          <w:fldChar w:fldCharType="begin"/>
        </w:r>
        <w:r w:rsidR="00B71FAB">
          <w:rPr>
            <w:noProof/>
            <w:webHidden/>
          </w:rPr>
          <w:instrText xml:space="preserve"> PAGEREF _Toc516147516 \h </w:instrText>
        </w:r>
        <w:r w:rsidR="00B71FAB">
          <w:rPr>
            <w:noProof/>
            <w:webHidden/>
          </w:rPr>
        </w:r>
        <w:r w:rsidR="00B71FAB">
          <w:rPr>
            <w:noProof/>
            <w:webHidden/>
          </w:rPr>
          <w:fldChar w:fldCharType="separate"/>
        </w:r>
        <w:r w:rsidR="00B71FAB">
          <w:rPr>
            <w:noProof/>
            <w:webHidden/>
          </w:rPr>
          <w:t>7</w:t>
        </w:r>
        <w:r w:rsidR="00B71FAB">
          <w:rPr>
            <w:noProof/>
            <w:webHidden/>
          </w:rPr>
          <w:fldChar w:fldCharType="end"/>
        </w:r>
      </w:hyperlink>
    </w:p>
    <w:p w:rsidR="00B71FAB" w:rsidRDefault="0065083C">
      <w:pPr>
        <w:pStyle w:val="TOC2"/>
        <w:tabs>
          <w:tab w:val="right" w:pos="9016"/>
        </w:tabs>
        <w:rPr>
          <w:rFonts w:eastAsiaTheme="minorEastAsia"/>
          <w:b w:val="0"/>
          <w:bCs w:val="0"/>
          <w:noProof/>
          <w:sz w:val="22"/>
          <w:szCs w:val="22"/>
          <w:lang w:eastAsia="en-GB"/>
        </w:rPr>
      </w:pPr>
      <w:hyperlink w:anchor="_Toc516147517" w:history="1">
        <w:r w:rsidR="00B71FAB" w:rsidRPr="00CE32E1">
          <w:rPr>
            <w:rStyle w:val="Hyperlink"/>
            <w:noProof/>
          </w:rPr>
          <w:t>APPENDIX 3:  University of Northampton Three Year Trend Data</w:t>
        </w:r>
        <w:r w:rsidR="00B71FAB">
          <w:rPr>
            <w:noProof/>
            <w:webHidden/>
          </w:rPr>
          <w:tab/>
        </w:r>
        <w:r w:rsidR="00B71FAB">
          <w:rPr>
            <w:noProof/>
            <w:webHidden/>
          </w:rPr>
          <w:fldChar w:fldCharType="begin"/>
        </w:r>
        <w:r w:rsidR="00B71FAB">
          <w:rPr>
            <w:noProof/>
            <w:webHidden/>
          </w:rPr>
          <w:instrText xml:space="preserve"> PAGEREF _Toc516147517 \h </w:instrText>
        </w:r>
        <w:r w:rsidR="00B71FAB">
          <w:rPr>
            <w:noProof/>
            <w:webHidden/>
          </w:rPr>
        </w:r>
        <w:r w:rsidR="00B71FAB">
          <w:rPr>
            <w:noProof/>
            <w:webHidden/>
          </w:rPr>
          <w:fldChar w:fldCharType="separate"/>
        </w:r>
        <w:r w:rsidR="00B71FAB">
          <w:rPr>
            <w:noProof/>
            <w:webHidden/>
          </w:rPr>
          <w:t>8</w:t>
        </w:r>
        <w:r w:rsidR="00B71FAB">
          <w:rPr>
            <w:noProof/>
            <w:webHidden/>
          </w:rPr>
          <w:fldChar w:fldCharType="end"/>
        </w:r>
      </w:hyperlink>
    </w:p>
    <w:p w:rsidR="00B71FAB" w:rsidRDefault="0065083C">
      <w:pPr>
        <w:pStyle w:val="TOC2"/>
        <w:tabs>
          <w:tab w:val="right" w:pos="9016"/>
        </w:tabs>
        <w:rPr>
          <w:rFonts w:eastAsiaTheme="minorEastAsia"/>
          <w:b w:val="0"/>
          <w:bCs w:val="0"/>
          <w:noProof/>
          <w:sz w:val="22"/>
          <w:szCs w:val="22"/>
          <w:lang w:eastAsia="en-GB"/>
        </w:rPr>
      </w:pPr>
      <w:hyperlink w:anchor="_Toc516147518" w:history="1">
        <w:r w:rsidR="00B71FAB" w:rsidRPr="00CE32E1">
          <w:rPr>
            <w:rStyle w:val="Hyperlink"/>
            <w:noProof/>
          </w:rPr>
          <w:t>APPENDIX 4: Faculty Tables by Key Questions</w:t>
        </w:r>
        <w:r w:rsidR="00B71FAB">
          <w:rPr>
            <w:noProof/>
            <w:webHidden/>
          </w:rPr>
          <w:tab/>
        </w:r>
        <w:r w:rsidR="00B71FAB">
          <w:rPr>
            <w:noProof/>
            <w:webHidden/>
          </w:rPr>
          <w:fldChar w:fldCharType="begin"/>
        </w:r>
        <w:r w:rsidR="00B71FAB">
          <w:rPr>
            <w:noProof/>
            <w:webHidden/>
          </w:rPr>
          <w:instrText xml:space="preserve"> PAGEREF _Toc516147518 \h </w:instrText>
        </w:r>
        <w:r w:rsidR="00B71FAB">
          <w:rPr>
            <w:noProof/>
            <w:webHidden/>
          </w:rPr>
        </w:r>
        <w:r w:rsidR="00B71FAB">
          <w:rPr>
            <w:noProof/>
            <w:webHidden/>
          </w:rPr>
          <w:fldChar w:fldCharType="separate"/>
        </w:r>
        <w:r w:rsidR="00B71FAB">
          <w:rPr>
            <w:noProof/>
            <w:webHidden/>
          </w:rPr>
          <w:t>14</w:t>
        </w:r>
        <w:r w:rsidR="00B71FAB">
          <w:rPr>
            <w:noProof/>
            <w:webHidden/>
          </w:rPr>
          <w:fldChar w:fldCharType="end"/>
        </w:r>
      </w:hyperlink>
    </w:p>
    <w:p w:rsidR="00851448" w:rsidRDefault="00851448" w:rsidP="00851448">
      <w:r w:rsidRPr="007506AD">
        <w:rPr>
          <w:rFonts w:ascii="Verdana" w:hAnsi="Verdana"/>
          <w:sz w:val="16"/>
          <w:szCs w:val="16"/>
        </w:rPr>
        <w:fldChar w:fldCharType="end"/>
      </w:r>
    </w:p>
    <w:p w:rsidR="00851448" w:rsidRDefault="00851448" w:rsidP="00851448"/>
    <w:p w:rsidR="00851448" w:rsidRDefault="00851448" w:rsidP="00851448"/>
    <w:p w:rsidR="00347536" w:rsidRDefault="00347536" w:rsidP="00851448">
      <w:pPr>
        <w:sectPr w:rsidR="00347536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51448" w:rsidRPr="00557248" w:rsidRDefault="00851448" w:rsidP="00851448">
      <w:pPr>
        <w:pStyle w:val="Heading2"/>
        <w:numPr>
          <w:ilvl w:val="0"/>
          <w:numId w:val="7"/>
        </w:numPr>
        <w:rPr>
          <w:rFonts w:ascii="Verdana" w:hAnsi="Verdana"/>
          <w:sz w:val="28"/>
          <w:szCs w:val="28"/>
        </w:rPr>
      </w:pPr>
      <w:bookmarkStart w:id="4" w:name="_Toc516147512"/>
      <w:r w:rsidRPr="00557248">
        <w:rPr>
          <w:rFonts w:ascii="Verdana" w:hAnsi="Verdana"/>
          <w:sz w:val="28"/>
          <w:szCs w:val="28"/>
        </w:rPr>
        <w:lastRenderedPageBreak/>
        <w:t>Introduction</w:t>
      </w:r>
      <w:bookmarkEnd w:id="4"/>
    </w:p>
    <w:p w:rsidR="00851448" w:rsidRDefault="00851448" w:rsidP="005220F0">
      <w:pPr>
        <w:spacing w:after="0"/>
        <w:rPr>
          <w:rFonts w:ascii="Verdana" w:hAnsi="Verdana"/>
          <w:sz w:val="20"/>
          <w:szCs w:val="20"/>
          <w:highlight w:val="yellow"/>
        </w:rPr>
      </w:pPr>
    </w:p>
    <w:p w:rsidR="00557248" w:rsidRPr="00557248" w:rsidRDefault="00557248" w:rsidP="00557248">
      <w:pPr>
        <w:pStyle w:val="Default"/>
        <w:rPr>
          <w:rFonts w:ascii="Verdana" w:hAnsi="Verdana"/>
          <w:sz w:val="22"/>
          <w:szCs w:val="22"/>
        </w:rPr>
      </w:pPr>
      <w:r w:rsidRPr="00557248">
        <w:rPr>
          <w:rFonts w:ascii="Verdana" w:hAnsi="Verdana"/>
          <w:sz w:val="22"/>
          <w:szCs w:val="22"/>
        </w:rPr>
        <w:t xml:space="preserve">The Personal Academic Tutoring scheme at the University of Northampton is a core component of the University’s approach to supporting student success. The annual PAT survey is conducted during April of each year to provide a sense of how the scheme is working and being received from both staff and student perspectives. The findings from the surveys provide a mandate for action-oriented approaches to quality enhancement of the PAT scheme. </w:t>
      </w:r>
    </w:p>
    <w:p w:rsidR="00557248" w:rsidRPr="00557248" w:rsidRDefault="00557248" w:rsidP="00557248">
      <w:pPr>
        <w:pStyle w:val="Default"/>
        <w:rPr>
          <w:rFonts w:ascii="Verdana" w:hAnsi="Verdana"/>
          <w:sz w:val="22"/>
          <w:szCs w:val="22"/>
        </w:rPr>
      </w:pPr>
    </w:p>
    <w:p w:rsidR="00557248" w:rsidRPr="00557248" w:rsidRDefault="00557248" w:rsidP="00557248">
      <w:pPr>
        <w:spacing w:after="0"/>
        <w:rPr>
          <w:rFonts w:ascii="Verdana" w:hAnsi="Verdana"/>
        </w:rPr>
      </w:pPr>
      <w:r w:rsidRPr="00557248">
        <w:rPr>
          <w:rFonts w:ascii="Verdana" w:hAnsi="Verdana"/>
        </w:rPr>
        <w:t xml:space="preserve">This is the 5th year in which the PAT staff and student surveys have been conducted. The results of the 2017-2018 PAT </w:t>
      </w:r>
      <w:r w:rsidR="00B346AB">
        <w:rPr>
          <w:rFonts w:ascii="Verdana" w:hAnsi="Verdana"/>
        </w:rPr>
        <w:t>Staff</w:t>
      </w:r>
      <w:r w:rsidRPr="00557248">
        <w:rPr>
          <w:rFonts w:ascii="Verdana" w:hAnsi="Verdana"/>
        </w:rPr>
        <w:t xml:space="preserve"> Survey are presented in this report.</w:t>
      </w:r>
      <w:r w:rsidR="003A0EDC">
        <w:rPr>
          <w:rFonts w:ascii="Verdana" w:hAnsi="Verdana"/>
        </w:rPr>
        <w:t xml:space="preserve"> The results from the PAT Student Survey are presented in a parallel report. </w:t>
      </w:r>
    </w:p>
    <w:p w:rsidR="00557248" w:rsidRPr="00557248" w:rsidRDefault="00557248" w:rsidP="00557248">
      <w:pPr>
        <w:pStyle w:val="Default"/>
        <w:rPr>
          <w:rFonts w:ascii="Verdana" w:hAnsi="Verdana"/>
          <w:sz w:val="22"/>
          <w:szCs w:val="22"/>
        </w:rPr>
      </w:pPr>
    </w:p>
    <w:p w:rsidR="00557248" w:rsidRPr="00557248" w:rsidRDefault="00557248" w:rsidP="00557248">
      <w:pPr>
        <w:rPr>
          <w:rFonts w:ascii="Verdana" w:hAnsi="Verdana"/>
          <w:b/>
        </w:rPr>
      </w:pPr>
      <w:r w:rsidRPr="00557248">
        <w:rPr>
          <w:rFonts w:ascii="Verdana" w:hAnsi="Verdana"/>
          <w:b/>
          <w:sz w:val="24"/>
          <w:szCs w:val="24"/>
        </w:rPr>
        <w:t>Response Rates</w:t>
      </w:r>
      <w:r w:rsidRPr="00557248">
        <w:rPr>
          <w:rFonts w:ascii="Verdana" w:hAnsi="Verdana"/>
          <w:b/>
        </w:rPr>
        <w:t xml:space="preserve"> </w:t>
      </w:r>
    </w:p>
    <w:p w:rsidR="00B346AB" w:rsidRDefault="00557248" w:rsidP="00557248">
      <w:pPr>
        <w:pStyle w:val="Default"/>
        <w:rPr>
          <w:rFonts w:ascii="Verdana" w:hAnsi="Verdana"/>
          <w:sz w:val="22"/>
          <w:szCs w:val="22"/>
        </w:rPr>
      </w:pPr>
      <w:r w:rsidRPr="00557248">
        <w:rPr>
          <w:rFonts w:ascii="Verdana" w:hAnsi="Verdana"/>
          <w:sz w:val="22"/>
          <w:szCs w:val="22"/>
        </w:rPr>
        <w:t xml:space="preserve">In line with previous surveys, the PAT </w:t>
      </w:r>
      <w:r w:rsidR="00B346AB">
        <w:rPr>
          <w:rFonts w:ascii="Verdana" w:hAnsi="Verdana"/>
          <w:sz w:val="22"/>
          <w:szCs w:val="22"/>
        </w:rPr>
        <w:t>Staff</w:t>
      </w:r>
      <w:r w:rsidRPr="00557248">
        <w:rPr>
          <w:rFonts w:ascii="Verdana" w:hAnsi="Verdana"/>
          <w:sz w:val="22"/>
          <w:szCs w:val="22"/>
        </w:rPr>
        <w:t xml:space="preserve"> Survey 201</w:t>
      </w:r>
      <w:r>
        <w:rPr>
          <w:rFonts w:ascii="Verdana" w:hAnsi="Verdana"/>
          <w:sz w:val="22"/>
          <w:szCs w:val="22"/>
        </w:rPr>
        <w:t>7-2018</w:t>
      </w:r>
      <w:r w:rsidRPr="00557248">
        <w:rPr>
          <w:rFonts w:ascii="Verdana" w:hAnsi="Verdana"/>
          <w:sz w:val="22"/>
          <w:szCs w:val="22"/>
        </w:rPr>
        <w:t xml:space="preserve"> was conducted using an online survey tool. The survey wa</w:t>
      </w:r>
      <w:r>
        <w:rPr>
          <w:rFonts w:ascii="Verdana" w:hAnsi="Verdana"/>
          <w:sz w:val="22"/>
          <w:szCs w:val="22"/>
        </w:rPr>
        <w:t xml:space="preserve">s sent via personal email to </w:t>
      </w:r>
      <w:r w:rsidR="00B346AB">
        <w:rPr>
          <w:rFonts w:ascii="Verdana" w:hAnsi="Verdana"/>
          <w:sz w:val="22"/>
          <w:szCs w:val="22"/>
        </w:rPr>
        <w:t xml:space="preserve">868 members of staff on academic contracts. 263 recipients responded to and completed the survey – an overall response rate of 30%, up from 16% in 2016/17 and 12% in 2015/16. </w:t>
      </w:r>
      <w:r w:rsidR="008D1787">
        <w:rPr>
          <w:rFonts w:ascii="Verdana" w:hAnsi="Verdana"/>
          <w:sz w:val="22"/>
          <w:szCs w:val="22"/>
        </w:rPr>
        <w:t xml:space="preserve">Of the 263 responses, 219 have worked as a PAT, therefore analysis is based on these 219 respondents. </w:t>
      </w:r>
    </w:p>
    <w:p w:rsidR="00B346AB" w:rsidRDefault="00B346AB" w:rsidP="00557248">
      <w:pPr>
        <w:pStyle w:val="Default"/>
        <w:rPr>
          <w:rFonts w:ascii="Verdana" w:hAnsi="Verdana"/>
          <w:sz w:val="22"/>
          <w:szCs w:val="22"/>
        </w:rPr>
      </w:pPr>
    </w:p>
    <w:p w:rsidR="00B346AB" w:rsidRDefault="00B346AB" w:rsidP="00557248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Response rates by faculty varies from </w:t>
      </w:r>
      <w:r w:rsidR="00CD1F8A">
        <w:rPr>
          <w:rFonts w:ascii="Verdana" w:hAnsi="Verdana"/>
          <w:sz w:val="22"/>
          <w:szCs w:val="22"/>
        </w:rPr>
        <w:t xml:space="preserve">37.8% in the Faculty of Education and Humanities to 22.7% in the Faculty of Arts, Science and Technology. See Appendix 1 for full details. </w:t>
      </w:r>
    </w:p>
    <w:p w:rsidR="00B346AB" w:rsidRDefault="00B346AB" w:rsidP="00557248">
      <w:pPr>
        <w:pStyle w:val="Default"/>
        <w:rPr>
          <w:rFonts w:ascii="Verdana" w:hAnsi="Verdana"/>
          <w:sz w:val="22"/>
          <w:szCs w:val="22"/>
        </w:rPr>
      </w:pPr>
    </w:p>
    <w:p w:rsidR="00E94853" w:rsidRDefault="00E94853">
      <w:pPr>
        <w:rPr>
          <w:rFonts w:ascii="Verdana" w:eastAsiaTheme="majorEastAsia" w:hAnsi="Verdana" w:cstheme="majorBidi"/>
          <w:b/>
          <w:bCs/>
          <w:color w:val="4F81BD" w:themeColor="accent1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557248" w:rsidRDefault="00557248" w:rsidP="00557248">
      <w:pPr>
        <w:pStyle w:val="Heading2"/>
        <w:numPr>
          <w:ilvl w:val="0"/>
          <w:numId w:val="7"/>
        </w:numPr>
        <w:rPr>
          <w:rFonts w:ascii="Verdana" w:hAnsi="Verdana"/>
          <w:sz w:val="28"/>
          <w:szCs w:val="28"/>
        </w:rPr>
      </w:pPr>
      <w:bookmarkStart w:id="5" w:name="_Toc516147513"/>
      <w:r w:rsidRPr="00557248">
        <w:rPr>
          <w:rFonts w:ascii="Verdana" w:hAnsi="Verdana"/>
          <w:sz w:val="28"/>
          <w:szCs w:val="28"/>
        </w:rPr>
        <w:lastRenderedPageBreak/>
        <w:t>Key Findings</w:t>
      </w:r>
      <w:bookmarkEnd w:id="5"/>
    </w:p>
    <w:p w:rsidR="00877073" w:rsidRPr="00F55F68" w:rsidRDefault="00877073" w:rsidP="00877073">
      <w:pPr>
        <w:spacing w:after="0"/>
        <w:rPr>
          <w:rFonts w:ascii="Verdana" w:hAnsi="Verdana"/>
          <w:sz w:val="20"/>
          <w:szCs w:val="20"/>
        </w:rPr>
      </w:pPr>
    </w:p>
    <w:p w:rsidR="00CD1F8A" w:rsidRPr="008D1787" w:rsidRDefault="00AB6C07" w:rsidP="00CD1F8A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University of Northampton</w:t>
      </w:r>
    </w:p>
    <w:p w:rsidR="00CD1F8A" w:rsidRDefault="008D1787" w:rsidP="0087707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The majority of</w:t>
      </w:r>
      <w:proofErr w:type="gramEnd"/>
      <w:r>
        <w:rPr>
          <w:rFonts w:ascii="Verdana" w:hAnsi="Verdana"/>
          <w:sz w:val="20"/>
          <w:szCs w:val="20"/>
        </w:rPr>
        <w:t xml:space="preserve"> staff completing the survey are either </w:t>
      </w:r>
      <w:r w:rsidR="005F02EA">
        <w:rPr>
          <w:rFonts w:ascii="Verdana" w:hAnsi="Verdana"/>
          <w:sz w:val="20"/>
          <w:szCs w:val="20"/>
        </w:rPr>
        <w:t xml:space="preserve">Senior or Principal Lecturers (72.6%) or Lecturers (19.6%). </w:t>
      </w:r>
    </w:p>
    <w:p w:rsidR="005F02EA" w:rsidRDefault="005F02EA" w:rsidP="005F02EA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5F02EA" w:rsidRDefault="00CA35CA" w:rsidP="0087707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89% of staff felt that they were qualified to perform the PAT role. This is 2% higher than the previous year and a positive three year trend (83% in 2015/16). </w:t>
      </w:r>
      <w:r w:rsidR="0013285A">
        <w:rPr>
          <w:rFonts w:ascii="Verdana" w:hAnsi="Verdana"/>
          <w:sz w:val="20"/>
          <w:szCs w:val="20"/>
        </w:rPr>
        <w:t xml:space="preserve">Less than 6% of staff stated that they did not feel qualified for the role. </w:t>
      </w:r>
    </w:p>
    <w:p w:rsidR="0013285A" w:rsidRPr="0013285A" w:rsidRDefault="0013285A" w:rsidP="0013285A">
      <w:pPr>
        <w:pStyle w:val="ListParagraph"/>
        <w:rPr>
          <w:rFonts w:ascii="Verdana" w:hAnsi="Verdana"/>
          <w:sz w:val="20"/>
          <w:szCs w:val="20"/>
        </w:rPr>
      </w:pPr>
    </w:p>
    <w:p w:rsidR="0013285A" w:rsidRDefault="0013285A" w:rsidP="0087707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54.1% </w:t>
      </w:r>
      <w:r w:rsidR="003A0EDC">
        <w:rPr>
          <w:rFonts w:ascii="Verdana" w:hAnsi="Verdana"/>
          <w:sz w:val="20"/>
          <w:szCs w:val="20"/>
        </w:rPr>
        <w:t xml:space="preserve">of staff </w:t>
      </w:r>
      <w:r>
        <w:rPr>
          <w:rFonts w:ascii="Verdana" w:hAnsi="Verdana"/>
          <w:sz w:val="20"/>
          <w:szCs w:val="20"/>
        </w:rPr>
        <w:t xml:space="preserve">felt that they had appropriate resources for the PAT role. This is a decrease of 12% since 2016/17, and a similar percentage to that in 2015/16. Nearly 30% of staff disagreed with this statement, an increase from 15% in 2016/17. </w:t>
      </w:r>
    </w:p>
    <w:p w:rsidR="0013285A" w:rsidRPr="0013285A" w:rsidRDefault="0013285A" w:rsidP="0013285A">
      <w:pPr>
        <w:pStyle w:val="ListParagraph"/>
        <w:rPr>
          <w:rFonts w:ascii="Verdana" w:hAnsi="Verdana"/>
          <w:sz w:val="20"/>
          <w:szCs w:val="20"/>
        </w:rPr>
      </w:pPr>
    </w:p>
    <w:p w:rsidR="0013285A" w:rsidRDefault="0013285A" w:rsidP="0087707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Just 28.6% of staff considered that they had sufficient time to perform the PAT role, a decrease of 6.3% from 34.9% in 2016/17. The three year trend shows a slight increase from 25</w:t>
      </w:r>
      <w:r w:rsidR="003A0EDC">
        <w:rPr>
          <w:rFonts w:ascii="Verdana" w:hAnsi="Verdana"/>
          <w:sz w:val="20"/>
          <w:szCs w:val="20"/>
        </w:rPr>
        <w:t>.7</w:t>
      </w:r>
      <w:r>
        <w:rPr>
          <w:rFonts w:ascii="Verdana" w:hAnsi="Verdana"/>
          <w:sz w:val="20"/>
          <w:szCs w:val="20"/>
        </w:rPr>
        <w:t xml:space="preserve">% in 2015/16. </w:t>
      </w:r>
      <w:r w:rsidR="00192046">
        <w:rPr>
          <w:rFonts w:ascii="Verdana" w:hAnsi="Verdana"/>
          <w:sz w:val="20"/>
          <w:szCs w:val="20"/>
        </w:rPr>
        <w:t>Just over 60% of staff felt that they did not have enough time to perform the role (an increase from 5</w:t>
      </w:r>
      <w:r w:rsidR="003A0EDC">
        <w:rPr>
          <w:rFonts w:ascii="Verdana" w:hAnsi="Verdana"/>
          <w:sz w:val="20"/>
          <w:szCs w:val="20"/>
        </w:rPr>
        <w:t>3.2</w:t>
      </w:r>
      <w:r w:rsidR="00192046">
        <w:rPr>
          <w:rFonts w:ascii="Verdana" w:hAnsi="Verdana"/>
          <w:sz w:val="20"/>
          <w:szCs w:val="20"/>
        </w:rPr>
        <w:t xml:space="preserve">% in 2016/17). </w:t>
      </w:r>
    </w:p>
    <w:p w:rsidR="00192046" w:rsidRPr="00192046" w:rsidRDefault="00192046" w:rsidP="00192046">
      <w:pPr>
        <w:pStyle w:val="ListParagraph"/>
        <w:rPr>
          <w:rFonts w:ascii="Verdana" w:hAnsi="Verdana"/>
          <w:sz w:val="20"/>
          <w:szCs w:val="20"/>
        </w:rPr>
      </w:pPr>
    </w:p>
    <w:p w:rsidR="00192046" w:rsidRDefault="00192046" w:rsidP="0087707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34.5% of staff were familiar with the PAT web area on the ILT website, which has increased slightly over 3 years from 31</w:t>
      </w:r>
      <w:r w:rsidR="003A0EDC">
        <w:rPr>
          <w:rFonts w:ascii="Verdana" w:hAnsi="Verdana"/>
          <w:sz w:val="20"/>
          <w:szCs w:val="20"/>
        </w:rPr>
        <w:t>.4</w:t>
      </w:r>
      <w:r>
        <w:rPr>
          <w:rFonts w:ascii="Verdana" w:hAnsi="Verdana"/>
          <w:sz w:val="20"/>
          <w:szCs w:val="20"/>
        </w:rPr>
        <w:t xml:space="preserve">% in 2015/16. However the proportion of staff unfamiliar with the PAT web area has remained static at approximately 54%. </w:t>
      </w:r>
    </w:p>
    <w:p w:rsidR="00192046" w:rsidRPr="00192046" w:rsidRDefault="00192046" w:rsidP="00192046">
      <w:pPr>
        <w:pStyle w:val="ListParagraph"/>
        <w:rPr>
          <w:rFonts w:ascii="Verdana" w:hAnsi="Verdana"/>
          <w:sz w:val="20"/>
          <w:szCs w:val="20"/>
        </w:rPr>
      </w:pPr>
    </w:p>
    <w:p w:rsidR="00192046" w:rsidRDefault="00192046" w:rsidP="0087707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Just over 21% of staff have used the PAT web area in their work to support students. This is a positive 3 year trend from 13</w:t>
      </w:r>
      <w:r w:rsidR="003A0EDC">
        <w:rPr>
          <w:rFonts w:ascii="Verdana" w:hAnsi="Verdana"/>
          <w:sz w:val="20"/>
          <w:szCs w:val="20"/>
        </w:rPr>
        <w:t>.3% in 2015/16 and 15.9</w:t>
      </w:r>
      <w:r>
        <w:rPr>
          <w:rFonts w:ascii="Verdana" w:hAnsi="Verdana"/>
          <w:sz w:val="20"/>
          <w:szCs w:val="20"/>
        </w:rPr>
        <w:t xml:space="preserve">% in 2016/17. </w:t>
      </w:r>
    </w:p>
    <w:p w:rsidR="00192046" w:rsidRPr="00192046" w:rsidRDefault="00192046" w:rsidP="00192046">
      <w:pPr>
        <w:pStyle w:val="ListParagraph"/>
        <w:rPr>
          <w:rFonts w:ascii="Verdana" w:hAnsi="Verdana"/>
          <w:sz w:val="20"/>
          <w:szCs w:val="20"/>
        </w:rPr>
      </w:pPr>
    </w:p>
    <w:p w:rsidR="00192046" w:rsidRDefault="00CA5BC2" w:rsidP="0087707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Nearly 53% of staff are aware of the PAT development opportunities contained within C@N-DO. This is an increase of </w:t>
      </w:r>
      <w:r w:rsidR="003A0EDC">
        <w:rPr>
          <w:rFonts w:ascii="Verdana" w:hAnsi="Verdana"/>
          <w:sz w:val="20"/>
          <w:szCs w:val="20"/>
        </w:rPr>
        <w:t>just over</w:t>
      </w:r>
      <w:r>
        <w:rPr>
          <w:rFonts w:ascii="Verdana" w:hAnsi="Verdana"/>
          <w:sz w:val="20"/>
          <w:szCs w:val="20"/>
        </w:rPr>
        <w:t xml:space="preserve"> 3% since 2016/17, but </w:t>
      </w:r>
      <w:r w:rsidR="00C851F1">
        <w:rPr>
          <w:rFonts w:ascii="Verdana" w:hAnsi="Verdana"/>
          <w:sz w:val="20"/>
          <w:szCs w:val="20"/>
        </w:rPr>
        <w:t>represents a</w:t>
      </w:r>
      <w:r>
        <w:rPr>
          <w:rFonts w:ascii="Verdana" w:hAnsi="Verdana"/>
          <w:sz w:val="20"/>
          <w:szCs w:val="20"/>
        </w:rPr>
        <w:t xml:space="preserve"> static three year trend. </w:t>
      </w:r>
    </w:p>
    <w:p w:rsidR="00CA5BC2" w:rsidRPr="00CA5BC2" w:rsidRDefault="00CA5BC2" w:rsidP="00CA5BC2">
      <w:pPr>
        <w:pStyle w:val="ListParagraph"/>
        <w:rPr>
          <w:rFonts w:ascii="Verdana" w:hAnsi="Verdana"/>
          <w:sz w:val="20"/>
          <w:szCs w:val="20"/>
        </w:rPr>
      </w:pPr>
    </w:p>
    <w:p w:rsidR="00CA5BC2" w:rsidRDefault="00CA5BC2" w:rsidP="0087707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Only 17% of staff have engaged with one of the C@N-DO PAT Development Opportunities this year.</w:t>
      </w:r>
      <w:r w:rsidR="003A0EDC">
        <w:rPr>
          <w:rFonts w:ascii="Verdana" w:hAnsi="Verdana"/>
          <w:sz w:val="20"/>
          <w:szCs w:val="20"/>
        </w:rPr>
        <w:t xml:space="preserve"> T</w:t>
      </w:r>
      <w:r>
        <w:rPr>
          <w:rFonts w:ascii="Verdana" w:hAnsi="Verdana"/>
          <w:sz w:val="20"/>
          <w:szCs w:val="20"/>
        </w:rPr>
        <w:t xml:space="preserve">his represents a </w:t>
      </w:r>
      <w:r w:rsidR="00446672">
        <w:rPr>
          <w:rFonts w:ascii="Verdana" w:hAnsi="Verdana"/>
          <w:sz w:val="20"/>
          <w:szCs w:val="20"/>
        </w:rPr>
        <w:t xml:space="preserve">9% increase from 2016/17, but is still a negative 3 year trend, down from 20% in 2015/16. </w:t>
      </w:r>
    </w:p>
    <w:p w:rsidR="00446672" w:rsidRPr="00446672" w:rsidRDefault="00446672" w:rsidP="00446672">
      <w:pPr>
        <w:pStyle w:val="ListParagraph"/>
        <w:rPr>
          <w:rFonts w:ascii="Verdana" w:hAnsi="Verdana"/>
          <w:sz w:val="20"/>
          <w:szCs w:val="20"/>
        </w:rPr>
      </w:pPr>
    </w:p>
    <w:p w:rsidR="00446672" w:rsidRDefault="00446672" w:rsidP="0087707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86% of staff work closely with others in their team to facilitate Personal Academic Tutoring</w:t>
      </w:r>
      <w:r w:rsidR="00311DD5">
        <w:rPr>
          <w:rFonts w:ascii="Verdana" w:hAnsi="Verdana"/>
          <w:sz w:val="20"/>
          <w:szCs w:val="20"/>
        </w:rPr>
        <w:t xml:space="preserve">, an increase of 10% since 2016/17 and a positive </w:t>
      </w:r>
      <w:proofErr w:type="gramStart"/>
      <w:r w:rsidR="00311DD5">
        <w:rPr>
          <w:rFonts w:ascii="Verdana" w:hAnsi="Verdana"/>
          <w:sz w:val="20"/>
          <w:szCs w:val="20"/>
        </w:rPr>
        <w:t>3 year</w:t>
      </w:r>
      <w:proofErr w:type="gramEnd"/>
      <w:r w:rsidR="00311DD5">
        <w:rPr>
          <w:rFonts w:ascii="Verdana" w:hAnsi="Verdana"/>
          <w:sz w:val="20"/>
          <w:szCs w:val="20"/>
        </w:rPr>
        <w:t xml:space="preserve"> trend, from 73% in 2015/16. </w:t>
      </w:r>
    </w:p>
    <w:p w:rsidR="00311DD5" w:rsidRPr="00311DD5" w:rsidRDefault="00311DD5" w:rsidP="00311DD5">
      <w:pPr>
        <w:pStyle w:val="ListParagraph"/>
        <w:rPr>
          <w:rFonts w:ascii="Verdana" w:hAnsi="Verdana"/>
          <w:sz w:val="20"/>
          <w:szCs w:val="20"/>
        </w:rPr>
      </w:pPr>
    </w:p>
    <w:p w:rsidR="00311DD5" w:rsidRDefault="00311DD5" w:rsidP="0087707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71% of staff are happy to support students via group tutorials, a similar percentage to 2016/17 (70%) and a 10% increase from 2015/16. 20% of staff were, however, not happy with using group tutorials</w:t>
      </w:r>
      <w:r w:rsidR="003A0EDC">
        <w:rPr>
          <w:rFonts w:ascii="Verdana" w:hAnsi="Verdana"/>
          <w:sz w:val="20"/>
          <w:szCs w:val="20"/>
        </w:rPr>
        <w:t xml:space="preserve"> (an increase from 15% in 2016/17)</w:t>
      </w:r>
      <w:r>
        <w:rPr>
          <w:rFonts w:ascii="Verdana" w:hAnsi="Verdana"/>
          <w:sz w:val="20"/>
          <w:szCs w:val="20"/>
        </w:rPr>
        <w:t xml:space="preserve">. </w:t>
      </w:r>
    </w:p>
    <w:p w:rsidR="00311DD5" w:rsidRPr="00311DD5" w:rsidRDefault="00311DD5" w:rsidP="00311DD5">
      <w:pPr>
        <w:pStyle w:val="ListParagraph"/>
        <w:rPr>
          <w:rFonts w:ascii="Verdana" w:hAnsi="Verdana"/>
          <w:sz w:val="20"/>
          <w:szCs w:val="20"/>
        </w:rPr>
      </w:pPr>
    </w:p>
    <w:p w:rsidR="00311DD5" w:rsidRDefault="00311DD5" w:rsidP="0087707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78.7% of staff preferred to work with students on a one-to-one basis. An increase of 7% since 2016/17, and a positive three year trend from 64% in 2015/16. </w:t>
      </w:r>
    </w:p>
    <w:p w:rsidR="00311DD5" w:rsidRPr="00311DD5" w:rsidRDefault="00311DD5" w:rsidP="00311DD5">
      <w:pPr>
        <w:pStyle w:val="ListParagraph"/>
        <w:rPr>
          <w:rFonts w:ascii="Verdana" w:hAnsi="Verdana"/>
          <w:sz w:val="20"/>
          <w:szCs w:val="20"/>
        </w:rPr>
      </w:pPr>
    </w:p>
    <w:p w:rsidR="00311DD5" w:rsidRDefault="00311DD5" w:rsidP="0087707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92.8% of staff reported that they support students who are not their personal tutees. This percentage has increased from 89.5% in 2015/16. </w:t>
      </w:r>
    </w:p>
    <w:p w:rsidR="00311DD5" w:rsidRPr="00311DD5" w:rsidRDefault="00311DD5" w:rsidP="00311DD5">
      <w:pPr>
        <w:pStyle w:val="ListParagraph"/>
        <w:rPr>
          <w:rFonts w:ascii="Verdana" w:hAnsi="Verdana"/>
          <w:sz w:val="20"/>
          <w:szCs w:val="20"/>
        </w:rPr>
      </w:pPr>
    </w:p>
    <w:p w:rsidR="00311DD5" w:rsidRDefault="00FD1481" w:rsidP="0087707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60.5% of staff preferred their PAT tutorial times to be scheduled; an increase from 51.6% in 2016/17, and a positive three year trend from 35.2% in 2015/16. 25% of staff did not prefer timetabled sessions, an increase from 20% in 2016/17. </w:t>
      </w:r>
    </w:p>
    <w:p w:rsidR="00FD1481" w:rsidRPr="00FD1481" w:rsidRDefault="00FD1481" w:rsidP="00FD1481">
      <w:pPr>
        <w:pStyle w:val="ListParagraph"/>
        <w:rPr>
          <w:rFonts w:ascii="Verdana" w:hAnsi="Verdana"/>
          <w:sz w:val="20"/>
          <w:szCs w:val="20"/>
        </w:rPr>
      </w:pPr>
    </w:p>
    <w:p w:rsidR="00FD1481" w:rsidRDefault="00997394" w:rsidP="0087707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addition</w:t>
      </w:r>
      <w:r w:rsidR="00FD1481">
        <w:rPr>
          <w:rFonts w:ascii="Verdana" w:hAnsi="Verdana"/>
          <w:sz w:val="20"/>
          <w:szCs w:val="20"/>
        </w:rPr>
        <w:t>, 74.1</w:t>
      </w:r>
      <w:r>
        <w:rPr>
          <w:rFonts w:ascii="Verdana" w:hAnsi="Verdana"/>
          <w:sz w:val="20"/>
          <w:szCs w:val="20"/>
        </w:rPr>
        <w:t xml:space="preserve">% of staff indicated that they prefer to have an open-door policy for their Personal Academic Tutees. This </w:t>
      </w:r>
      <w:r w:rsidR="00AB6C07">
        <w:rPr>
          <w:rFonts w:ascii="Verdana" w:hAnsi="Verdana"/>
          <w:sz w:val="20"/>
          <w:szCs w:val="20"/>
        </w:rPr>
        <w:t>represents a</w:t>
      </w:r>
      <w:r>
        <w:rPr>
          <w:rFonts w:ascii="Verdana" w:hAnsi="Verdana"/>
          <w:sz w:val="20"/>
          <w:szCs w:val="20"/>
        </w:rPr>
        <w:t xml:space="preserve"> positive three year trend from 55% in 2015/16 to 66% in 2016/17. </w:t>
      </w:r>
      <w:r w:rsidR="0075252D">
        <w:rPr>
          <w:rFonts w:ascii="Verdana" w:hAnsi="Verdana"/>
          <w:sz w:val="20"/>
          <w:szCs w:val="20"/>
        </w:rPr>
        <w:t xml:space="preserve">It is likely that this reflects the fact that many PATs offer a combination of scheduled and ad hoc sessions for their tutees. </w:t>
      </w:r>
    </w:p>
    <w:p w:rsidR="0075252D" w:rsidRPr="0075252D" w:rsidRDefault="0075252D" w:rsidP="0075252D">
      <w:pPr>
        <w:pStyle w:val="ListParagraph"/>
        <w:rPr>
          <w:rFonts w:ascii="Verdana" w:hAnsi="Verdana"/>
          <w:sz w:val="20"/>
          <w:szCs w:val="20"/>
        </w:rPr>
      </w:pPr>
    </w:p>
    <w:p w:rsidR="0075252D" w:rsidRDefault="0075252D" w:rsidP="0087707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91.4% of staff agreed that their work as a PAT has made a difference in the lives of their tutees. This represents a positive three year trend from 76</w:t>
      </w:r>
      <w:r w:rsidR="004263BC">
        <w:rPr>
          <w:rFonts w:ascii="Verdana" w:hAnsi="Verdana"/>
          <w:sz w:val="20"/>
          <w:szCs w:val="20"/>
        </w:rPr>
        <w:t>.2</w:t>
      </w:r>
      <w:r>
        <w:rPr>
          <w:rFonts w:ascii="Verdana" w:hAnsi="Verdana"/>
          <w:sz w:val="20"/>
          <w:szCs w:val="20"/>
        </w:rPr>
        <w:t>% in 2015/16 to 8</w:t>
      </w:r>
      <w:r w:rsidR="004263BC"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>4% in 2016/17.</w:t>
      </w:r>
    </w:p>
    <w:p w:rsidR="0075252D" w:rsidRPr="0075252D" w:rsidRDefault="0075252D" w:rsidP="0075252D">
      <w:pPr>
        <w:pStyle w:val="ListParagraph"/>
        <w:rPr>
          <w:rFonts w:ascii="Verdana" w:hAnsi="Verdana"/>
          <w:sz w:val="20"/>
          <w:szCs w:val="20"/>
        </w:rPr>
      </w:pPr>
    </w:p>
    <w:p w:rsidR="0075252D" w:rsidRDefault="0075252D" w:rsidP="0087707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85.5% of staff indicated that they felt confident in the pastoral and personal aspects of the PAT role, compared to 84% in 2016/17 and 71% in 2015/16. </w:t>
      </w:r>
    </w:p>
    <w:p w:rsidR="0075252D" w:rsidRPr="0075252D" w:rsidRDefault="0075252D" w:rsidP="0075252D">
      <w:pPr>
        <w:pStyle w:val="ListParagraph"/>
        <w:rPr>
          <w:rFonts w:ascii="Verdana" w:hAnsi="Verdana"/>
          <w:sz w:val="20"/>
          <w:szCs w:val="20"/>
        </w:rPr>
      </w:pPr>
    </w:p>
    <w:p w:rsidR="0075252D" w:rsidRDefault="0075252D" w:rsidP="00877073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87.3% </w:t>
      </w:r>
      <w:r w:rsidR="00C851F1">
        <w:rPr>
          <w:rFonts w:ascii="Verdana" w:hAnsi="Verdana"/>
          <w:sz w:val="20"/>
          <w:szCs w:val="20"/>
        </w:rPr>
        <w:t xml:space="preserve">of staff indicated that they felt confident in providing academic support to students as part of their PAT role, a broadly similar percentage to 2016/17, and  a positive 3 year trend from 2015/16 (71%).  </w:t>
      </w:r>
    </w:p>
    <w:p w:rsidR="00E8625C" w:rsidRPr="00C851F1" w:rsidRDefault="00E8625C" w:rsidP="00C851F1">
      <w:pPr>
        <w:spacing w:after="0"/>
        <w:rPr>
          <w:rFonts w:ascii="Verdana" w:hAnsi="Verdana"/>
          <w:sz w:val="20"/>
          <w:szCs w:val="20"/>
        </w:rPr>
      </w:pPr>
    </w:p>
    <w:p w:rsidR="005220F0" w:rsidRPr="005220F0" w:rsidRDefault="005220F0" w:rsidP="005220F0">
      <w:pPr>
        <w:pStyle w:val="ListParagraph"/>
        <w:rPr>
          <w:rFonts w:ascii="Verdana" w:hAnsi="Verdana"/>
          <w:sz w:val="20"/>
          <w:szCs w:val="20"/>
        </w:rPr>
      </w:pPr>
    </w:p>
    <w:p w:rsidR="00CD1F8A" w:rsidRPr="008D1787" w:rsidRDefault="00AB6C07" w:rsidP="008D178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Faculty </w:t>
      </w:r>
      <w:r w:rsidR="00E94853">
        <w:rPr>
          <w:rFonts w:ascii="Verdana" w:hAnsi="Verdana"/>
          <w:b/>
          <w:sz w:val="20"/>
          <w:szCs w:val="20"/>
        </w:rPr>
        <w:t>Detail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CC0EF5" w:rsidRDefault="00AB6C07" w:rsidP="00CC0EF5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proportion of staff that felt they were qualified to perform the PAT role varies from 95.5% in FEH to </w:t>
      </w:r>
      <w:r w:rsidR="000744E1">
        <w:rPr>
          <w:rFonts w:ascii="Verdana" w:hAnsi="Verdana"/>
          <w:sz w:val="20"/>
          <w:szCs w:val="20"/>
        </w:rPr>
        <w:t>82.9% in FAST</w:t>
      </w:r>
      <w:r w:rsidR="00867EB9">
        <w:rPr>
          <w:rFonts w:ascii="Verdana" w:hAnsi="Verdana"/>
          <w:sz w:val="20"/>
          <w:szCs w:val="20"/>
        </w:rPr>
        <w:t xml:space="preserve"> (91.1% in FBL and 87.7% in FHS)</w:t>
      </w:r>
      <w:r w:rsidR="000744E1">
        <w:rPr>
          <w:rFonts w:ascii="Verdana" w:hAnsi="Verdana"/>
          <w:sz w:val="20"/>
          <w:szCs w:val="20"/>
        </w:rPr>
        <w:t xml:space="preserve">. 14.3% of staff in FAST did not feel that they were qualified; the highest amongst all faculties (0% in FEH).  </w:t>
      </w:r>
    </w:p>
    <w:p w:rsidR="000744E1" w:rsidRDefault="000744E1" w:rsidP="000744E1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0744E1" w:rsidRDefault="000744E1" w:rsidP="00CC0EF5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FEH also has the highest proportion of staff that felt that they have the appropriate resources for the PAT role – 80.5% agreed with this, compared to 40.5% in FAST</w:t>
      </w:r>
      <w:r w:rsidR="00867EB9">
        <w:rPr>
          <w:rFonts w:ascii="Verdana" w:hAnsi="Verdana"/>
          <w:sz w:val="20"/>
          <w:szCs w:val="20"/>
        </w:rPr>
        <w:t>, 51.3% in FBL and 53.8% in FHS</w:t>
      </w:r>
      <w:r>
        <w:rPr>
          <w:rFonts w:ascii="Verdana" w:hAnsi="Verdana"/>
          <w:sz w:val="20"/>
          <w:szCs w:val="20"/>
        </w:rPr>
        <w:t>. 39% of staff from FBL and 37.8% from FAST felt that they did not have the appropriate resources</w:t>
      </w:r>
      <w:r w:rsidR="00867EB9">
        <w:rPr>
          <w:rFonts w:ascii="Verdana" w:hAnsi="Verdana"/>
          <w:sz w:val="20"/>
          <w:szCs w:val="20"/>
        </w:rPr>
        <w:t xml:space="preserve"> (12.2% in FEH and 29.5% in FHS)</w:t>
      </w:r>
      <w:r>
        <w:rPr>
          <w:rFonts w:ascii="Verdana" w:hAnsi="Verdana"/>
          <w:sz w:val="20"/>
          <w:szCs w:val="20"/>
        </w:rPr>
        <w:t xml:space="preserve">. </w:t>
      </w:r>
    </w:p>
    <w:p w:rsidR="000744E1" w:rsidRPr="000744E1" w:rsidRDefault="000744E1" w:rsidP="000744E1">
      <w:pPr>
        <w:pStyle w:val="ListParagraph"/>
        <w:rPr>
          <w:rFonts w:ascii="Verdana" w:hAnsi="Verdana"/>
          <w:sz w:val="20"/>
          <w:szCs w:val="20"/>
        </w:rPr>
      </w:pPr>
    </w:p>
    <w:p w:rsidR="000744E1" w:rsidRDefault="000744E1" w:rsidP="00CC0EF5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FEH has the highest proportion of staff that considered that they had sufficient time to perform the PAT role – 41.5%, compared to 18.9% in FAST</w:t>
      </w:r>
      <w:r w:rsidR="00867EB9">
        <w:rPr>
          <w:rFonts w:ascii="Verdana" w:hAnsi="Verdana"/>
          <w:sz w:val="20"/>
          <w:szCs w:val="20"/>
        </w:rPr>
        <w:t xml:space="preserve"> (31.7% in FBL and 25.6% in FHS)</w:t>
      </w:r>
      <w:r>
        <w:rPr>
          <w:rFonts w:ascii="Verdana" w:hAnsi="Verdana"/>
          <w:sz w:val="20"/>
          <w:szCs w:val="20"/>
        </w:rPr>
        <w:t xml:space="preserve">. The proportion of staff that felt that they did NOT have sufficient time to perform the PAT role was 68.3% in FBL, 67.6% in FAST and 65.4% in FHS; compared to 36.6% in FEH. </w:t>
      </w:r>
    </w:p>
    <w:p w:rsidR="000744E1" w:rsidRPr="000744E1" w:rsidRDefault="000744E1" w:rsidP="000744E1">
      <w:pPr>
        <w:pStyle w:val="ListParagraph"/>
        <w:rPr>
          <w:rFonts w:ascii="Verdana" w:hAnsi="Verdana"/>
          <w:sz w:val="20"/>
          <w:szCs w:val="20"/>
        </w:rPr>
      </w:pPr>
    </w:p>
    <w:p w:rsidR="000744E1" w:rsidRDefault="000744E1" w:rsidP="00CC0EF5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FEH staff are more likely to work closely with others in their team</w:t>
      </w:r>
      <w:r w:rsidRPr="000744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 facilitate Personal Academic Tutoring; 97.6% in FEH, compared to 76.2% in FBL</w:t>
      </w:r>
      <w:r w:rsidR="00867EB9">
        <w:rPr>
          <w:rFonts w:ascii="Verdana" w:hAnsi="Verdana"/>
          <w:sz w:val="20"/>
          <w:szCs w:val="20"/>
        </w:rPr>
        <w:t>, 84.3% in FHS and 87.2% in FAST</w:t>
      </w:r>
      <w:r>
        <w:rPr>
          <w:rFonts w:ascii="Verdana" w:hAnsi="Verdana"/>
          <w:sz w:val="20"/>
          <w:szCs w:val="20"/>
        </w:rPr>
        <w:t xml:space="preserve">. </w:t>
      </w:r>
    </w:p>
    <w:p w:rsidR="000744E1" w:rsidRPr="000744E1" w:rsidRDefault="000744E1" w:rsidP="000744E1">
      <w:pPr>
        <w:pStyle w:val="ListParagraph"/>
        <w:rPr>
          <w:rFonts w:ascii="Verdana" w:hAnsi="Verdana"/>
          <w:sz w:val="20"/>
          <w:szCs w:val="20"/>
        </w:rPr>
      </w:pPr>
    </w:p>
    <w:p w:rsidR="000744E1" w:rsidRDefault="00867EB9" w:rsidP="00CC0EF5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96% of staff from FHS felt that their work as a PAT has made a difference in the lives of their tutees. More than 90% of staff from FBL and FEH also agreed with this statement, whereas, just 83.8% of staff from FAST agreed. By contrast, just 1.4% of staff from FHS disagreed with this statement; no staff from the other 3 faculties disagree</w:t>
      </w:r>
      <w:r w:rsidR="00144C9C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 </w:t>
      </w:r>
      <w:r w:rsidR="00144C9C">
        <w:rPr>
          <w:rFonts w:ascii="Verdana" w:hAnsi="Verdana"/>
          <w:sz w:val="20"/>
          <w:szCs w:val="20"/>
        </w:rPr>
        <w:t xml:space="preserve">(the remaining neither agreed nor disagreed with the statement). </w:t>
      </w:r>
    </w:p>
    <w:p w:rsidR="00867EB9" w:rsidRPr="00867EB9" w:rsidRDefault="00867EB9" w:rsidP="00867EB9">
      <w:pPr>
        <w:pStyle w:val="ListParagraph"/>
        <w:rPr>
          <w:rFonts w:ascii="Verdana" w:hAnsi="Verdana"/>
          <w:sz w:val="20"/>
          <w:szCs w:val="20"/>
        </w:rPr>
      </w:pPr>
    </w:p>
    <w:p w:rsidR="00867EB9" w:rsidRDefault="00867EB9" w:rsidP="00CC0EF5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FEH has the highest proportion of staff that felt confident in the pastoral and personal aspects of the PAT role (95.1%), compared to 75.7% in FAST, 84.4% in FHS and 86% in FBL. </w:t>
      </w:r>
    </w:p>
    <w:p w:rsidR="00867EB9" w:rsidRPr="00867EB9" w:rsidRDefault="00867EB9" w:rsidP="00867EB9">
      <w:pPr>
        <w:pStyle w:val="ListParagraph"/>
        <w:rPr>
          <w:rFonts w:ascii="Verdana" w:hAnsi="Verdana"/>
          <w:sz w:val="20"/>
          <w:szCs w:val="20"/>
        </w:rPr>
      </w:pPr>
    </w:p>
    <w:p w:rsidR="00867EB9" w:rsidRPr="00DB61F4" w:rsidRDefault="00867EB9" w:rsidP="00CC0EF5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FAST has the highest proportion of staff that felt confident in the academic support to students as part of their PAT role (94.1%), compared to 80.3% in FHS, 90% in FEH and 91.1% in FBL. </w:t>
      </w:r>
    </w:p>
    <w:p w:rsidR="00CC0EF5" w:rsidRPr="00DB61F4" w:rsidRDefault="00CC0EF5" w:rsidP="000A0F79">
      <w:pPr>
        <w:pStyle w:val="ListParagraph"/>
        <w:rPr>
          <w:rFonts w:ascii="Verdana" w:hAnsi="Verdana"/>
          <w:sz w:val="20"/>
          <w:szCs w:val="20"/>
        </w:rPr>
      </w:pPr>
    </w:p>
    <w:p w:rsidR="002912AF" w:rsidRPr="002912AF" w:rsidRDefault="002912AF" w:rsidP="002912AF">
      <w:pPr>
        <w:pStyle w:val="ListParagraph"/>
        <w:spacing w:after="0"/>
        <w:ind w:left="1080"/>
        <w:rPr>
          <w:rFonts w:ascii="Verdana" w:hAnsi="Verdana"/>
          <w:sz w:val="20"/>
          <w:szCs w:val="20"/>
        </w:rPr>
      </w:pPr>
    </w:p>
    <w:p w:rsidR="009F15DE" w:rsidRDefault="009F15DE" w:rsidP="002912AF">
      <w:pPr>
        <w:rPr>
          <w:rFonts w:ascii="Verdana" w:hAnsi="Verdana"/>
          <w:b/>
        </w:rPr>
      </w:pPr>
    </w:p>
    <w:p w:rsidR="009F15DE" w:rsidRDefault="009F15DE" w:rsidP="002912AF">
      <w:pPr>
        <w:rPr>
          <w:rFonts w:ascii="Verdana" w:hAnsi="Verdana"/>
          <w:b/>
        </w:rPr>
      </w:pPr>
    </w:p>
    <w:p w:rsidR="009F15DE" w:rsidRDefault="009F15DE" w:rsidP="002912AF">
      <w:pPr>
        <w:rPr>
          <w:rFonts w:ascii="Verdana" w:hAnsi="Verdana"/>
          <w:b/>
        </w:rPr>
      </w:pPr>
    </w:p>
    <w:p w:rsidR="009F15DE" w:rsidRDefault="009F15DE" w:rsidP="002912AF">
      <w:pPr>
        <w:rPr>
          <w:rFonts w:ascii="Verdana" w:hAnsi="Verdana"/>
          <w:b/>
        </w:rPr>
      </w:pPr>
    </w:p>
    <w:p w:rsidR="009F15DE" w:rsidRDefault="009F15DE" w:rsidP="002912AF">
      <w:pPr>
        <w:rPr>
          <w:rFonts w:ascii="Verdana" w:hAnsi="Verdana"/>
          <w:b/>
        </w:rPr>
      </w:pPr>
    </w:p>
    <w:p w:rsidR="007506AD" w:rsidRDefault="007506AD" w:rsidP="002912AF">
      <w:pPr>
        <w:rPr>
          <w:rFonts w:ascii="Verdana" w:hAnsi="Verdana"/>
          <w:b/>
        </w:rPr>
      </w:pPr>
    </w:p>
    <w:p w:rsidR="00E94853" w:rsidRDefault="00E94853">
      <w:pPr>
        <w:rPr>
          <w:rFonts w:ascii="Verdana" w:eastAsiaTheme="majorEastAsia" w:hAnsi="Verdana" w:cstheme="majorBidi"/>
          <w:b/>
          <w:bCs/>
          <w:color w:val="4F81BD" w:themeColor="accent1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E94853" w:rsidRDefault="00E94853" w:rsidP="00C1020C">
      <w:pPr>
        <w:pStyle w:val="Heading2"/>
        <w:jc w:val="center"/>
        <w:rPr>
          <w:rFonts w:ascii="Verdana" w:hAnsi="Verdana"/>
          <w:sz w:val="28"/>
          <w:szCs w:val="28"/>
        </w:rPr>
      </w:pPr>
    </w:p>
    <w:p w:rsidR="00E94853" w:rsidRDefault="00E94853" w:rsidP="00C1020C">
      <w:pPr>
        <w:pStyle w:val="Heading2"/>
        <w:jc w:val="center"/>
        <w:rPr>
          <w:rFonts w:ascii="Verdana" w:hAnsi="Verdana"/>
          <w:sz w:val="28"/>
          <w:szCs w:val="28"/>
        </w:rPr>
      </w:pPr>
    </w:p>
    <w:p w:rsidR="00E94853" w:rsidRDefault="00E94853" w:rsidP="00C1020C">
      <w:pPr>
        <w:pStyle w:val="Heading2"/>
        <w:jc w:val="center"/>
        <w:rPr>
          <w:rFonts w:ascii="Verdana" w:hAnsi="Verdana"/>
          <w:sz w:val="28"/>
          <w:szCs w:val="28"/>
        </w:rPr>
      </w:pPr>
    </w:p>
    <w:p w:rsidR="00E94853" w:rsidRDefault="00E94853" w:rsidP="00C1020C">
      <w:pPr>
        <w:pStyle w:val="Heading2"/>
        <w:jc w:val="center"/>
        <w:rPr>
          <w:rFonts w:ascii="Verdana" w:hAnsi="Verdana"/>
          <w:sz w:val="28"/>
          <w:szCs w:val="28"/>
        </w:rPr>
      </w:pPr>
    </w:p>
    <w:p w:rsidR="00E94853" w:rsidRDefault="00E94853" w:rsidP="00C1020C">
      <w:pPr>
        <w:pStyle w:val="Heading2"/>
        <w:jc w:val="center"/>
        <w:rPr>
          <w:rFonts w:ascii="Verdana" w:hAnsi="Verdana"/>
          <w:sz w:val="28"/>
          <w:szCs w:val="28"/>
        </w:rPr>
      </w:pPr>
    </w:p>
    <w:p w:rsidR="00E94853" w:rsidRDefault="00E94853" w:rsidP="00C1020C">
      <w:pPr>
        <w:pStyle w:val="Heading2"/>
        <w:jc w:val="center"/>
        <w:rPr>
          <w:rFonts w:ascii="Verdana" w:hAnsi="Verdana"/>
          <w:sz w:val="28"/>
          <w:szCs w:val="28"/>
        </w:rPr>
      </w:pPr>
    </w:p>
    <w:p w:rsidR="00E94853" w:rsidRDefault="00E94853" w:rsidP="00C1020C">
      <w:pPr>
        <w:pStyle w:val="Heading2"/>
        <w:jc w:val="center"/>
        <w:rPr>
          <w:rFonts w:ascii="Verdana" w:hAnsi="Verdana"/>
          <w:sz w:val="28"/>
          <w:szCs w:val="28"/>
        </w:rPr>
      </w:pPr>
    </w:p>
    <w:p w:rsidR="00E94853" w:rsidRDefault="00E94853" w:rsidP="00C1020C">
      <w:pPr>
        <w:pStyle w:val="Heading2"/>
        <w:jc w:val="center"/>
        <w:rPr>
          <w:rFonts w:ascii="Verdana" w:hAnsi="Verdana"/>
          <w:sz w:val="28"/>
          <w:szCs w:val="28"/>
        </w:rPr>
      </w:pPr>
    </w:p>
    <w:p w:rsidR="007506AD" w:rsidRPr="00C1020C" w:rsidRDefault="00F90E16" w:rsidP="00C1020C">
      <w:pPr>
        <w:pStyle w:val="Heading2"/>
        <w:jc w:val="center"/>
        <w:rPr>
          <w:rFonts w:ascii="Verdana" w:hAnsi="Verdana"/>
          <w:sz w:val="28"/>
          <w:szCs w:val="28"/>
        </w:rPr>
      </w:pPr>
      <w:bookmarkStart w:id="6" w:name="_Toc516147514"/>
      <w:r w:rsidRPr="00C1020C">
        <w:rPr>
          <w:rFonts w:ascii="Verdana" w:hAnsi="Verdana"/>
          <w:sz w:val="28"/>
          <w:szCs w:val="28"/>
        </w:rPr>
        <w:t>Appendices</w:t>
      </w:r>
      <w:bookmarkEnd w:id="6"/>
    </w:p>
    <w:p w:rsidR="007506AD" w:rsidRDefault="007506AD" w:rsidP="002912AF">
      <w:pPr>
        <w:rPr>
          <w:rFonts w:ascii="Verdana" w:hAnsi="Verdana"/>
          <w:b/>
        </w:rPr>
      </w:pPr>
    </w:p>
    <w:p w:rsidR="007506AD" w:rsidRDefault="007506AD" w:rsidP="002912AF">
      <w:pPr>
        <w:rPr>
          <w:rFonts w:ascii="Verdana" w:hAnsi="Verdana"/>
          <w:b/>
        </w:rPr>
      </w:pPr>
    </w:p>
    <w:p w:rsidR="007506AD" w:rsidRDefault="007506AD" w:rsidP="002912AF">
      <w:pPr>
        <w:rPr>
          <w:rFonts w:ascii="Verdana" w:hAnsi="Verdana"/>
          <w:b/>
        </w:rPr>
      </w:pPr>
    </w:p>
    <w:p w:rsidR="007506AD" w:rsidRDefault="007506AD" w:rsidP="002912AF">
      <w:pPr>
        <w:rPr>
          <w:rFonts w:ascii="Verdana" w:hAnsi="Verdana"/>
          <w:b/>
        </w:rPr>
      </w:pPr>
    </w:p>
    <w:p w:rsidR="007506AD" w:rsidRDefault="007506AD" w:rsidP="002912AF">
      <w:pPr>
        <w:rPr>
          <w:rFonts w:ascii="Verdana" w:hAnsi="Verdana"/>
          <w:b/>
        </w:rPr>
      </w:pPr>
    </w:p>
    <w:p w:rsidR="007506AD" w:rsidRDefault="007506AD" w:rsidP="002912AF">
      <w:pPr>
        <w:rPr>
          <w:rFonts w:ascii="Verdana" w:hAnsi="Verdana"/>
          <w:b/>
        </w:rPr>
      </w:pPr>
    </w:p>
    <w:p w:rsidR="007506AD" w:rsidRDefault="007506AD" w:rsidP="002912AF">
      <w:pPr>
        <w:rPr>
          <w:rFonts w:ascii="Verdana" w:hAnsi="Verdana"/>
          <w:b/>
        </w:rPr>
      </w:pPr>
    </w:p>
    <w:p w:rsidR="007506AD" w:rsidRDefault="007506AD" w:rsidP="002912AF">
      <w:pPr>
        <w:rPr>
          <w:rFonts w:ascii="Verdana" w:hAnsi="Verdana"/>
          <w:b/>
        </w:rPr>
      </w:pPr>
    </w:p>
    <w:p w:rsidR="00144C9C" w:rsidRDefault="00144C9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86305" w:rsidRDefault="00C1020C" w:rsidP="00F90E16">
      <w:pPr>
        <w:pStyle w:val="Heading2"/>
      </w:pPr>
      <w:bookmarkStart w:id="7" w:name="_Toc516147515"/>
      <w:r>
        <w:lastRenderedPageBreak/>
        <w:t>APPENDIX</w:t>
      </w:r>
      <w:r w:rsidR="00286305">
        <w:t xml:space="preserve"> 1: Response Rates</w:t>
      </w:r>
      <w:bookmarkEnd w:id="7"/>
    </w:p>
    <w:tbl>
      <w:tblPr>
        <w:tblStyle w:val="LightList-Accent1"/>
        <w:tblW w:w="9106" w:type="dxa"/>
        <w:tblLook w:val="04A0" w:firstRow="1" w:lastRow="0" w:firstColumn="1" w:lastColumn="0" w:noHBand="0" w:noVBand="1"/>
      </w:tblPr>
      <w:tblGrid>
        <w:gridCol w:w="4198"/>
        <w:gridCol w:w="1545"/>
        <w:gridCol w:w="1814"/>
        <w:gridCol w:w="1549"/>
      </w:tblGrid>
      <w:tr w:rsidR="00CD1F8A" w:rsidRPr="00CD1F8A" w:rsidTr="00CD1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8" w:type="dxa"/>
            <w:noWrap/>
            <w:hideMark/>
          </w:tcPr>
          <w:p w:rsidR="00CD1F8A" w:rsidRPr="00CD1F8A" w:rsidRDefault="00CD1F8A" w:rsidP="00CD1F8A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lang w:eastAsia="en-GB"/>
              </w:rPr>
              <w:t>Faculty</w:t>
            </w:r>
          </w:p>
        </w:tc>
        <w:tc>
          <w:tcPr>
            <w:tcW w:w="1545" w:type="dxa"/>
            <w:noWrap/>
            <w:hideMark/>
          </w:tcPr>
          <w:p w:rsidR="00CD1F8A" w:rsidRPr="00CD1F8A" w:rsidRDefault="00CD1F8A" w:rsidP="00CD1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lang w:eastAsia="en-GB"/>
              </w:rPr>
              <w:t>Population</w:t>
            </w:r>
          </w:p>
        </w:tc>
        <w:tc>
          <w:tcPr>
            <w:tcW w:w="1814" w:type="dxa"/>
            <w:noWrap/>
            <w:hideMark/>
          </w:tcPr>
          <w:p w:rsidR="00CD1F8A" w:rsidRPr="00CD1F8A" w:rsidRDefault="00CD1F8A" w:rsidP="00CD1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lang w:eastAsia="en-GB"/>
              </w:rPr>
              <w:t>Respondents</w:t>
            </w:r>
          </w:p>
        </w:tc>
        <w:tc>
          <w:tcPr>
            <w:tcW w:w="1549" w:type="dxa"/>
            <w:noWrap/>
            <w:hideMark/>
          </w:tcPr>
          <w:p w:rsidR="00CD1F8A" w:rsidRPr="00CD1F8A" w:rsidRDefault="00CD1F8A" w:rsidP="00CD1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lang w:eastAsia="en-GB"/>
              </w:rPr>
              <w:t>Response Rate</w:t>
            </w:r>
          </w:p>
        </w:tc>
      </w:tr>
      <w:tr w:rsidR="00CD1F8A" w:rsidRPr="00CD1F8A" w:rsidTr="00CD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8" w:type="dxa"/>
            <w:noWrap/>
            <w:hideMark/>
          </w:tcPr>
          <w:p w:rsidR="00CD1F8A" w:rsidRPr="00CD1F8A" w:rsidRDefault="00CD1F8A" w:rsidP="00CD1F8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Faculty of Arts, Science &amp; Technology</w:t>
            </w:r>
          </w:p>
        </w:tc>
        <w:tc>
          <w:tcPr>
            <w:tcW w:w="1545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207</w:t>
            </w:r>
          </w:p>
        </w:tc>
        <w:tc>
          <w:tcPr>
            <w:tcW w:w="1814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47</w:t>
            </w:r>
          </w:p>
        </w:tc>
        <w:tc>
          <w:tcPr>
            <w:tcW w:w="1549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22.7%</w:t>
            </w:r>
          </w:p>
        </w:tc>
      </w:tr>
      <w:tr w:rsidR="00CD1F8A" w:rsidRPr="00CD1F8A" w:rsidTr="00CD1F8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8" w:type="dxa"/>
            <w:noWrap/>
            <w:hideMark/>
          </w:tcPr>
          <w:p w:rsidR="00CD1F8A" w:rsidRPr="00CD1F8A" w:rsidRDefault="00CD1F8A" w:rsidP="00CD1F8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Faculty of Business &amp; Law</w:t>
            </w:r>
          </w:p>
        </w:tc>
        <w:tc>
          <w:tcPr>
            <w:tcW w:w="1545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215</w:t>
            </w:r>
          </w:p>
        </w:tc>
        <w:tc>
          <w:tcPr>
            <w:tcW w:w="1814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60</w:t>
            </w:r>
          </w:p>
        </w:tc>
        <w:tc>
          <w:tcPr>
            <w:tcW w:w="1549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27.9%</w:t>
            </w:r>
          </w:p>
        </w:tc>
      </w:tr>
      <w:tr w:rsidR="00CD1F8A" w:rsidRPr="00CD1F8A" w:rsidTr="00CD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8" w:type="dxa"/>
            <w:noWrap/>
            <w:hideMark/>
          </w:tcPr>
          <w:p w:rsidR="00CD1F8A" w:rsidRPr="00CD1F8A" w:rsidRDefault="00CD1F8A" w:rsidP="00CD1F8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Faculty of Education &amp; Humanities</w:t>
            </w:r>
          </w:p>
        </w:tc>
        <w:tc>
          <w:tcPr>
            <w:tcW w:w="1545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143</w:t>
            </w:r>
          </w:p>
        </w:tc>
        <w:tc>
          <w:tcPr>
            <w:tcW w:w="1814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54</w:t>
            </w:r>
          </w:p>
        </w:tc>
        <w:tc>
          <w:tcPr>
            <w:tcW w:w="1549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37.8%</w:t>
            </w:r>
          </w:p>
        </w:tc>
      </w:tr>
      <w:tr w:rsidR="00CD1F8A" w:rsidRPr="00CD1F8A" w:rsidTr="00CD1F8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8" w:type="dxa"/>
            <w:noWrap/>
            <w:hideMark/>
          </w:tcPr>
          <w:p w:rsidR="00CD1F8A" w:rsidRPr="00CD1F8A" w:rsidRDefault="00CD1F8A" w:rsidP="00CD1F8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Faculty of Health &amp; Society</w:t>
            </w:r>
          </w:p>
        </w:tc>
        <w:tc>
          <w:tcPr>
            <w:tcW w:w="1545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285</w:t>
            </w:r>
          </w:p>
        </w:tc>
        <w:tc>
          <w:tcPr>
            <w:tcW w:w="1814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99</w:t>
            </w:r>
          </w:p>
        </w:tc>
        <w:tc>
          <w:tcPr>
            <w:tcW w:w="1549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34.7%</w:t>
            </w:r>
          </w:p>
        </w:tc>
      </w:tr>
      <w:tr w:rsidR="00CD1F8A" w:rsidRPr="00CD1F8A" w:rsidTr="00CD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8" w:type="dxa"/>
            <w:noWrap/>
            <w:hideMark/>
          </w:tcPr>
          <w:p w:rsidR="00CD1F8A" w:rsidRPr="00CD1F8A" w:rsidRDefault="00CD1F8A" w:rsidP="00CD1F8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Inst. for Creative Leather Technologies</w:t>
            </w:r>
          </w:p>
        </w:tc>
        <w:tc>
          <w:tcPr>
            <w:tcW w:w="1545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15</w:t>
            </w:r>
          </w:p>
        </w:tc>
        <w:tc>
          <w:tcPr>
            <w:tcW w:w="1814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3</w:t>
            </w:r>
          </w:p>
        </w:tc>
        <w:tc>
          <w:tcPr>
            <w:tcW w:w="1549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20.0%</w:t>
            </w:r>
          </w:p>
        </w:tc>
      </w:tr>
      <w:tr w:rsidR="00CD1F8A" w:rsidRPr="00CD1F8A" w:rsidTr="00CD1F8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8" w:type="dxa"/>
            <w:noWrap/>
            <w:hideMark/>
          </w:tcPr>
          <w:p w:rsidR="00CD1F8A" w:rsidRPr="00CD1F8A" w:rsidRDefault="00CD1F8A" w:rsidP="00CD1F8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Inst. for Public Safety, Crime &amp; Justice</w:t>
            </w:r>
          </w:p>
        </w:tc>
        <w:tc>
          <w:tcPr>
            <w:tcW w:w="1545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2</w:t>
            </w:r>
          </w:p>
        </w:tc>
        <w:tc>
          <w:tcPr>
            <w:tcW w:w="1814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1549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0.0%</w:t>
            </w:r>
          </w:p>
        </w:tc>
      </w:tr>
      <w:tr w:rsidR="00CD1F8A" w:rsidRPr="00CD1F8A" w:rsidTr="00CD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8" w:type="dxa"/>
            <w:noWrap/>
            <w:hideMark/>
          </w:tcPr>
          <w:p w:rsidR="00CD1F8A" w:rsidRPr="00CD1F8A" w:rsidRDefault="00CD1F8A" w:rsidP="00CD1F8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Inst. for Social Innovation &amp; Impact</w:t>
            </w:r>
          </w:p>
        </w:tc>
        <w:tc>
          <w:tcPr>
            <w:tcW w:w="1545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1</w:t>
            </w:r>
          </w:p>
        </w:tc>
        <w:tc>
          <w:tcPr>
            <w:tcW w:w="1814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1549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0.0%</w:t>
            </w:r>
          </w:p>
        </w:tc>
      </w:tr>
      <w:tr w:rsidR="00CD1F8A" w:rsidRPr="00CD1F8A" w:rsidTr="00CD1F8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8" w:type="dxa"/>
            <w:noWrap/>
            <w:hideMark/>
          </w:tcPr>
          <w:p w:rsidR="00CD1F8A" w:rsidRPr="00CD1F8A" w:rsidRDefault="00CD1F8A" w:rsidP="00CD1F8A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Total UoN</w:t>
            </w:r>
          </w:p>
        </w:tc>
        <w:tc>
          <w:tcPr>
            <w:tcW w:w="1545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868</w:t>
            </w:r>
          </w:p>
        </w:tc>
        <w:tc>
          <w:tcPr>
            <w:tcW w:w="1814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263</w:t>
            </w:r>
          </w:p>
        </w:tc>
        <w:tc>
          <w:tcPr>
            <w:tcW w:w="1549" w:type="dxa"/>
            <w:noWrap/>
            <w:hideMark/>
          </w:tcPr>
          <w:p w:rsidR="00CD1F8A" w:rsidRPr="00CD1F8A" w:rsidRDefault="00CD1F8A" w:rsidP="00CD1F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CD1F8A">
              <w:rPr>
                <w:rFonts w:ascii="Verdana" w:eastAsia="Times New Roman" w:hAnsi="Verdana" w:cs="Times New Roman"/>
                <w:color w:val="000000"/>
                <w:lang w:eastAsia="en-GB"/>
              </w:rPr>
              <w:t>30.3%</w:t>
            </w:r>
          </w:p>
        </w:tc>
      </w:tr>
    </w:tbl>
    <w:p w:rsidR="00CD1F8A" w:rsidRDefault="00CD1F8A" w:rsidP="006F70BE">
      <w:pPr>
        <w:rPr>
          <w:rFonts w:ascii="Verdana" w:hAnsi="Verdana"/>
          <w:sz w:val="20"/>
          <w:szCs w:val="20"/>
        </w:rPr>
      </w:pPr>
    </w:p>
    <w:p w:rsidR="00E94853" w:rsidRDefault="00E9485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C03A45" w:rsidRDefault="00C1020C" w:rsidP="00F90E16">
      <w:pPr>
        <w:pStyle w:val="Heading2"/>
      </w:pPr>
      <w:bookmarkStart w:id="8" w:name="_Toc516147516"/>
      <w:r>
        <w:lastRenderedPageBreak/>
        <w:t>APPENDIX</w:t>
      </w:r>
      <w:r w:rsidR="008C00B4">
        <w:t xml:space="preserve"> 2</w:t>
      </w:r>
      <w:r w:rsidR="00C03A45">
        <w:t xml:space="preserve">: </w:t>
      </w:r>
      <w:r w:rsidR="00877073">
        <w:t xml:space="preserve"> </w:t>
      </w:r>
      <w:r w:rsidR="008F62FA">
        <w:t>University of Northampton Results</w:t>
      </w:r>
      <w:bookmarkEnd w:id="8"/>
      <w:r w:rsidR="008F62FA">
        <w:t xml:space="preserve"> </w:t>
      </w:r>
    </w:p>
    <w:tbl>
      <w:tblPr>
        <w:tblStyle w:val="LightList-Accent1"/>
        <w:tblW w:w="9747" w:type="dxa"/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1519"/>
        <w:gridCol w:w="1316"/>
      </w:tblGrid>
      <w:tr w:rsidR="008F62FA" w:rsidRPr="008F62FA" w:rsidTr="008F6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8F62FA" w:rsidRPr="008F62FA" w:rsidRDefault="008F62FA" w:rsidP="008F62FA">
            <w:pPr>
              <w:rPr>
                <w:rFonts w:ascii="Verdana" w:eastAsia="Times New Roman" w:hAnsi="Verdana" w:cs="Times New Roman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lang w:eastAsia="en-GB"/>
              </w:rPr>
              <w:t xml:space="preserve">Question </w:t>
            </w:r>
          </w:p>
        </w:tc>
        <w:tc>
          <w:tcPr>
            <w:tcW w:w="992" w:type="dxa"/>
            <w:noWrap/>
            <w:hideMark/>
          </w:tcPr>
          <w:p w:rsidR="008F62FA" w:rsidRPr="008F62FA" w:rsidRDefault="008F62FA" w:rsidP="008F62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lang w:eastAsia="en-GB"/>
              </w:rPr>
              <w:t>% Agree</w:t>
            </w:r>
          </w:p>
        </w:tc>
        <w:tc>
          <w:tcPr>
            <w:tcW w:w="1519" w:type="dxa"/>
            <w:noWrap/>
            <w:hideMark/>
          </w:tcPr>
          <w:p w:rsidR="008F62FA" w:rsidRPr="008F62FA" w:rsidRDefault="008F62FA" w:rsidP="008F62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% </w:t>
            </w:r>
            <w:r w:rsidRPr="008F62FA">
              <w:rPr>
                <w:rFonts w:ascii="Verdana" w:eastAsia="Times New Roman" w:hAnsi="Verdana" w:cs="Times New Roman"/>
                <w:lang w:eastAsia="en-GB"/>
              </w:rPr>
              <w:t>Neither Agree nor Disagree</w:t>
            </w:r>
          </w:p>
        </w:tc>
        <w:tc>
          <w:tcPr>
            <w:tcW w:w="1316" w:type="dxa"/>
            <w:noWrap/>
            <w:hideMark/>
          </w:tcPr>
          <w:p w:rsidR="008F62FA" w:rsidRPr="008F62FA" w:rsidRDefault="008F62FA" w:rsidP="008F62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lang w:eastAsia="en-GB"/>
              </w:rPr>
              <w:t>% Disagree</w:t>
            </w:r>
          </w:p>
        </w:tc>
      </w:tr>
      <w:tr w:rsidR="008F62FA" w:rsidRPr="008F62FA" w:rsidTr="008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8F62FA" w:rsidRPr="008F62FA" w:rsidRDefault="008F62FA" w:rsidP="008F62F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I feel that I am qualified to perform the PAT role (e.g. through experience, training etc)</w:t>
            </w:r>
          </w:p>
        </w:tc>
        <w:tc>
          <w:tcPr>
            <w:tcW w:w="992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89.4%</w:t>
            </w:r>
          </w:p>
        </w:tc>
        <w:tc>
          <w:tcPr>
            <w:tcW w:w="1519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4.8%</w:t>
            </w:r>
          </w:p>
        </w:tc>
        <w:tc>
          <w:tcPr>
            <w:tcW w:w="1316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5.8%</w:t>
            </w:r>
          </w:p>
        </w:tc>
      </w:tr>
      <w:tr w:rsidR="008F62FA" w:rsidRPr="008F62FA" w:rsidTr="008F62F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8F62FA" w:rsidRPr="008F62FA" w:rsidRDefault="008F62FA" w:rsidP="008F62F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I have appropriate resources to help me perform the PAT role (e.g. PAT web area, peer support)</w:t>
            </w:r>
          </w:p>
        </w:tc>
        <w:tc>
          <w:tcPr>
            <w:tcW w:w="992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54.1%</w:t>
            </w:r>
          </w:p>
        </w:tc>
        <w:tc>
          <w:tcPr>
            <w:tcW w:w="1519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16.6%</w:t>
            </w:r>
          </w:p>
        </w:tc>
        <w:tc>
          <w:tcPr>
            <w:tcW w:w="1316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29.3%</w:t>
            </w:r>
          </w:p>
        </w:tc>
      </w:tr>
      <w:tr w:rsidR="008F62FA" w:rsidRPr="008F62FA" w:rsidTr="008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8F62FA" w:rsidRPr="008F62FA" w:rsidRDefault="008F62FA" w:rsidP="008F62F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I have enough time to perform the PAT role</w:t>
            </w:r>
          </w:p>
        </w:tc>
        <w:tc>
          <w:tcPr>
            <w:tcW w:w="992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28.6%</w:t>
            </w:r>
          </w:p>
        </w:tc>
        <w:tc>
          <w:tcPr>
            <w:tcW w:w="1519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10.6%</w:t>
            </w:r>
          </w:p>
        </w:tc>
        <w:tc>
          <w:tcPr>
            <w:tcW w:w="1316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60.8%</w:t>
            </w:r>
          </w:p>
        </w:tc>
      </w:tr>
      <w:tr w:rsidR="008F62FA" w:rsidRPr="008F62FA" w:rsidTr="008F62F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8F62FA" w:rsidRPr="008F62FA" w:rsidRDefault="008F62FA" w:rsidP="008F62F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I am familiar with the PAT web area on the ILT website</w:t>
            </w:r>
          </w:p>
        </w:tc>
        <w:tc>
          <w:tcPr>
            <w:tcW w:w="992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34.5%</w:t>
            </w:r>
          </w:p>
        </w:tc>
        <w:tc>
          <w:tcPr>
            <w:tcW w:w="1519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12.2%</w:t>
            </w:r>
          </w:p>
        </w:tc>
        <w:tc>
          <w:tcPr>
            <w:tcW w:w="1316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53.3%</w:t>
            </w:r>
          </w:p>
        </w:tc>
      </w:tr>
      <w:tr w:rsidR="008F62FA" w:rsidRPr="008F62FA" w:rsidTr="008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8F62FA" w:rsidRPr="008F62FA" w:rsidRDefault="008F62FA" w:rsidP="008F62F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In my role as a PAT I refer (have referred) to the PAT web area</w:t>
            </w:r>
          </w:p>
        </w:tc>
        <w:tc>
          <w:tcPr>
            <w:tcW w:w="992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21.1%</w:t>
            </w:r>
          </w:p>
        </w:tc>
        <w:tc>
          <w:tcPr>
            <w:tcW w:w="1519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8.9%</w:t>
            </w:r>
          </w:p>
        </w:tc>
        <w:tc>
          <w:tcPr>
            <w:tcW w:w="1316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70.0%</w:t>
            </w:r>
          </w:p>
        </w:tc>
      </w:tr>
      <w:tr w:rsidR="008F62FA" w:rsidRPr="008F62FA" w:rsidTr="008F62F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8F62FA" w:rsidRPr="008F62FA" w:rsidRDefault="008F62FA" w:rsidP="008F62F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I am aware of the PAT development opportunities within the University's C@N-DO professional development scheme</w:t>
            </w:r>
          </w:p>
        </w:tc>
        <w:tc>
          <w:tcPr>
            <w:tcW w:w="992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52.8%</w:t>
            </w:r>
          </w:p>
        </w:tc>
        <w:tc>
          <w:tcPr>
            <w:tcW w:w="1519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11.3%</w:t>
            </w:r>
          </w:p>
        </w:tc>
        <w:tc>
          <w:tcPr>
            <w:tcW w:w="1316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35.9%</w:t>
            </w:r>
          </w:p>
        </w:tc>
      </w:tr>
      <w:tr w:rsidR="008F62FA" w:rsidRPr="008F62FA" w:rsidTr="008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8F62FA" w:rsidRPr="008F62FA" w:rsidRDefault="008F62FA" w:rsidP="008F62F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I have engaged with one of the C@N-DO PAT Development Opportunities this academic year</w:t>
            </w:r>
          </w:p>
        </w:tc>
        <w:tc>
          <w:tcPr>
            <w:tcW w:w="992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16.9%</w:t>
            </w:r>
          </w:p>
        </w:tc>
        <w:tc>
          <w:tcPr>
            <w:tcW w:w="1519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6.3%</w:t>
            </w:r>
          </w:p>
        </w:tc>
        <w:tc>
          <w:tcPr>
            <w:tcW w:w="1316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76.8%</w:t>
            </w:r>
          </w:p>
        </w:tc>
      </w:tr>
      <w:tr w:rsidR="008F62FA" w:rsidRPr="008F62FA" w:rsidTr="008F62F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8F62FA" w:rsidRPr="008F62FA" w:rsidRDefault="008F62FA" w:rsidP="008F62F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I work closely with others in my team to support high-quality PAT provision for students</w:t>
            </w:r>
          </w:p>
        </w:tc>
        <w:tc>
          <w:tcPr>
            <w:tcW w:w="992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86.1%</w:t>
            </w:r>
          </w:p>
        </w:tc>
        <w:tc>
          <w:tcPr>
            <w:tcW w:w="1519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3.8%</w:t>
            </w:r>
          </w:p>
        </w:tc>
        <w:tc>
          <w:tcPr>
            <w:tcW w:w="1316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10.1%</w:t>
            </w:r>
          </w:p>
        </w:tc>
      </w:tr>
      <w:tr w:rsidR="008F62FA" w:rsidRPr="008F62FA" w:rsidTr="008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8F62FA" w:rsidRPr="008F62FA" w:rsidRDefault="008F62FA" w:rsidP="008F62F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As a PAT, I am happy to support students via group tutorials</w:t>
            </w:r>
          </w:p>
        </w:tc>
        <w:tc>
          <w:tcPr>
            <w:tcW w:w="992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71.0%</w:t>
            </w:r>
          </w:p>
        </w:tc>
        <w:tc>
          <w:tcPr>
            <w:tcW w:w="1519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9.0%</w:t>
            </w:r>
          </w:p>
        </w:tc>
        <w:tc>
          <w:tcPr>
            <w:tcW w:w="1316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20.0%</w:t>
            </w:r>
          </w:p>
        </w:tc>
      </w:tr>
      <w:tr w:rsidR="008F62FA" w:rsidRPr="008F62FA" w:rsidTr="008F62F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8F62FA" w:rsidRPr="008F62FA" w:rsidRDefault="008F62FA" w:rsidP="008F62F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As a PAT, I prefer to work with students on a one-to-one basis</w:t>
            </w:r>
          </w:p>
        </w:tc>
        <w:tc>
          <w:tcPr>
            <w:tcW w:w="992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78.7%</w:t>
            </w:r>
          </w:p>
        </w:tc>
        <w:tc>
          <w:tcPr>
            <w:tcW w:w="1519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19.1%</w:t>
            </w:r>
          </w:p>
        </w:tc>
        <w:tc>
          <w:tcPr>
            <w:tcW w:w="1316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2.2%</w:t>
            </w:r>
          </w:p>
        </w:tc>
      </w:tr>
      <w:tr w:rsidR="008F62FA" w:rsidRPr="008F62FA" w:rsidTr="008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8F62FA" w:rsidRPr="008F62FA" w:rsidRDefault="008F62FA" w:rsidP="008F62F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Students who are not assigned to me (as a PAT) still come to me for support</w:t>
            </w:r>
          </w:p>
        </w:tc>
        <w:tc>
          <w:tcPr>
            <w:tcW w:w="992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92.8%</w:t>
            </w:r>
          </w:p>
        </w:tc>
        <w:tc>
          <w:tcPr>
            <w:tcW w:w="1519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2.4%</w:t>
            </w:r>
          </w:p>
        </w:tc>
        <w:tc>
          <w:tcPr>
            <w:tcW w:w="1316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4.8%</w:t>
            </w:r>
          </w:p>
        </w:tc>
      </w:tr>
      <w:tr w:rsidR="008F62FA" w:rsidRPr="008F62FA" w:rsidTr="008F62F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8F62FA" w:rsidRPr="008F62FA" w:rsidRDefault="008F62FA" w:rsidP="008F62F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I prefer to facilitate personal tutoring as scheduled, timetabled sessions</w:t>
            </w:r>
          </w:p>
        </w:tc>
        <w:tc>
          <w:tcPr>
            <w:tcW w:w="992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60.5%</w:t>
            </w:r>
          </w:p>
        </w:tc>
        <w:tc>
          <w:tcPr>
            <w:tcW w:w="1519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14.4%</w:t>
            </w:r>
          </w:p>
        </w:tc>
        <w:tc>
          <w:tcPr>
            <w:tcW w:w="1316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25.1%</w:t>
            </w:r>
          </w:p>
        </w:tc>
      </w:tr>
      <w:tr w:rsidR="008F62FA" w:rsidRPr="008F62FA" w:rsidTr="008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8F62FA" w:rsidRPr="008F62FA" w:rsidRDefault="008F62FA" w:rsidP="008F62F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I prefer to facilitate personal tutoring using an 'open-door' policy (it is OK to prefer scheduled and 'open-door')</w:t>
            </w:r>
          </w:p>
        </w:tc>
        <w:tc>
          <w:tcPr>
            <w:tcW w:w="992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74.1%</w:t>
            </w:r>
          </w:p>
        </w:tc>
        <w:tc>
          <w:tcPr>
            <w:tcW w:w="1519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7.8%</w:t>
            </w:r>
          </w:p>
        </w:tc>
        <w:tc>
          <w:tcPr>
            <w:tcW w:w="1316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18.1%</w:t>
            </w:r>
          </w:p>
        </w:tc>
      </w:tr>
      <w:tr w:rsidR="008F62FA" w:rsidRPr="008F62FA" w:rsidTr="008F62F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8F62FA" w:rsidRPr="008F62FA" w:rsidRDefault="008F62FA" w:rsidP="008F62F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In my work as a PAT, I know I have made a positive impact on the lives of my tutees</w:t>
            </w:r>
          </w:p>
        </w:tc>
        <w:tc>
          <w:tcPr>
            <w:tcW w:w="992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91.4%</w:t>
            </w:r>
          </w:p>
        </w:tc>
        <w:tc>
          <w:tcPr>
            <w:tcW w:w="1519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8.1%</w:t>
            </w:r>
          </w:p>
        </w:tc>
        <w:tc>
          <w:tcPr>
            <w:tcW w:w="1316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0.5%</w:t>
            </w:r>
          </w:p>
        </w:tc>
      </w:tr>
      <w:tr w:rsidR="008F62FA" w:rsidRPr="008F62FA" w:rsidTr="008F6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8F62FA" w:rsidRPr="008F62FA" w:rsidRDefault="008F62FA" w:rsidP="008F62F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I feel confident in the pastoral/personal aspect of the PAT role</w:t>
            </w:r>
          </w:p>
        </w:tc>
        <w:tc>
          <w:tcPr>
            <w:tcW w:w="992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85.5%</w:t>
            </w:r>
          </w:p>
        </w:tc>
        <w:tc>
          <w:tcPr>
            <w:tcW w:w="1519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6.5%</w:t>
            </w:r>
          </w:p>
        </w:tc>
        <w:tc>
          <w:tcPr>
            <w:tcW w:w="1316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8.0%</w:t>
            </w:r>
          </w:p>
        </w:tc>
      </w:tr>
      <w:tr w:rsidR="008F62FA" w:rsidRPr="008F62FA" w:rsidTr="008F62F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:rsidR="008F62FA" w:rsidRPr="008F62FA" w:rsidRDefault="008F62FA" w:rsidP="008F62FA">
            <w:pPr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b w:val="0"/>
                <w:color w:val="000000"/>
                <w:lang w:eastAsia="en-GB"/>
              </w:rPr>
              <w:t>I feel confident in the academic support aspect of the PAT role</w:t>
            </w:r>
          </w:p>
        </w:tc>
        <w:tc>
          <w:tcPr>
            <w:tcW w:w="992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87.3%</w:t>
            </w:r>
          </w:p>
        </w:tc>
        <w:tc>
          <w:tcPr>
            <w:tcW w:w="1519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5.6%</w:t>
            </w:r>
          </w:p>
        </w:tc>
        <w:tc>
          <w:tcPr>
            <w:tcW w:w="1316" w:type="dxa"/>
            <w:noWrap/>
            <w:hideMark/>
          </w:tcPr>
          <w:p w:rsidR="008F62FA" w:rsidRPr="008F62FA" w:rsidRDefault="008F62FA" w:rsidP="008F6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8F62FA">
              <w:rPr>
                <w:rFonts w:ascii="Verdana" w:eastAsia="Times New Roman" w:hAnsi="Verdana" w:cs="Times New Roman"/>
                <w:color w:val="000000"/>
                <w:lang w:eastAsia="en-GB"/>
              </w:rPr>
              <w:t>7.1%</w:t>
            </w:r>
          </w:p>
        </w:tc>
      </w:tr>
    </w:tbl>
    <w:p w:rsidR="008F62FA" w:rsidRPr="008F62FA" w:rsidRDefault="008F62FA" w:rsidP="008F62FA"/>
    <w:p w:rsidR="004857A6" w:rsidRDefault="004857A6" w:rsidP="004857A6">
      <w:pPr>
        <w:rPr>
          <w:lang w:bidi="en-US"/>
        </w:rPr>
      </w:pPr>
    </w:p>
    <w:p w:rsidR="00E94853" w:rsidRDefault="00E9485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CE122D" w:rsidRDefault="00CE122D" w:rsidP="00CE122D">
      <w:pPr>
        <w:pStyle w:val="Heading2"/>
      </w:pPr>
      <w:bookmarkStart w:id="9" w:name="_Toc516147517"/>
      <w:r>
        <w:lastRenderedPageBreak/>
        <w:t>APPENDIX 3:  University of Northampton Three Year Trend Data</w:t>
      </w:r>
      <w:bookmarkEnd w:id="9"/>
    </w:p>
    <w:p w:rsidR="00CE122D" w:rsidRDefault="00CE122D" w:rsidP="00CE122D"/>
    <w:p w:rsidR="00CE122D" w:rsidRDefault="00CE122D" w:rsidP="00CE122D">
      <w:r>
        <w:t xml:space="preserve">The following graphs show trend data since 2015/16 for each question in the PAT staff survey. </w:t>
      </w:r>
    </w:p>
    <w:p w:rsidR="00CE122D" w:rsidRDefault="008E14CB" w:rsidP="00CE122D">
      <w:r>
        <w:rPr>
          <w:noProof/>
          <w:lang w:eastAsia="en-GB"/>
        </w:rPr>
        <w:drawing>
          <wp:inline distT="0" distB="0" distL="0" distR="0" wp14:anchorId="4D78EFAA">
            <wp:extent cx="4810125" cy="240792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4CB" w:rsidRDefault="008E14CB" w:rsidP="00CE122D">
      <w:r>
        <w:rPr>
          <w:noProof/>
          <w:lang w:eastAsia="en-GB"/>
        </w:rPr>
        <w:drawing>
          <wp:inline distT="0" distB="0" distL="0" distR="0" wp14:anchorId="41B42930">
            <wp:extent cx="4810125" cy="240792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4CB" w:rsidRDefault="008E14CB" w:rsidP="00CE122D">
      <w:r>
        <w:rPr>
          <w:noProof/>
          <w:lang w:eastAsia="en-GB"/>
        </w:rPr>
        <w:drawing>
          <wp:inline distT="0" distB="0" distL="0" distR="0" wp14:anchorId="21A53E83">
            <wp:extent cx="4810125" cy="240220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4CB" w:rsidRDefault="008E14CB" w:rsidP="00CE122D">
      <w:r>
        <w:rPr>
          <w:noProof/>
          <w:lang w:eastAsia="en-GB"/>
        </w:rPr>
        <w:lastRenderedPageBreak/>
        <w:drawing>
          <wp:inline distT="0" distB="0" distL="0" distR="0" wp14:anchorId="3EAC7D77">
            <wp:extent cx="4810125" cy="240792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4CB" w:rsidRDefault="008E14CB" w:rsidP="00CE122D">
      <w:r>
        <w:rPr>
          <w:noProof/>
          <w:lang w:eastAsia="en-GB"/>
        </w:rPr>
        <w:drawing>
          <wp:inline distT="0" distB="0" distL="0" distR="0" wp14:anchorId="60467756">
            <wp:extent cx="4810125" cy="240220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4CB" w:rsidRDefault="008E14CB" w:rsidP="00CE122D">
      <w:r>
        <w:rPr>
          <w:noProof/>
          <w:lang w:eastAsia="en-GB"/>
        </w:rPr>
        <w:drawing>
          <wp:inline distT="0" distB="0" distL="0" distR="0" wp14:anchorId="36930E74">
            <wp:extent cx="4810125" cy="240792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4CB" w:rsidRDefault="008E14CB" w:rsidP="00CE122D">
      <w:r>
        <w:rPr>
          <w:noProof/>
          <w:lang w:eastAsia="en-GB"/>
        </w:rPr>
        <w:lastRenderedPageBreak/>
        <w:drawing>
          <wp:inline distT="0" distB="0" distL="0" distR="0" wp14:anchorId="4AD75D06">
            <wp:extent cx="4810125" cy="240792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4CB" w:rsidRDefault="008E14CB" w:rsidP="00CE122D">
      <w:r>
        <w:rPr>
          <w:noProof/>
          <w:lang w:eastAsia="en-GB"/>
        </w:rPr>
        <w:drawing>
          <wp:inline distT="0" distB="0" distL="0" distR="0" wp14:anchorId="01222B0B">
            <wp:extent cx="4810125" cy="240792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4CB" w:rsidRDefault="008E14CB" w:rsidP="00CE122D">
      <w:r>
        <w:rPr>
          <w:noProof/>
          <w:lang w:eastAsia="en-GB"/>
        </w:rPr>
        <w:drawing>
          <wp:inline distT="0" distB="0" distL="0" distR="0" wp14:anchorId="7DDDA988">
            <wp:extent cx="4810125" cy="2402205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4CB" w:rsidRDefault="008E14CB" w:rsidP="00CE122D">
      <w:r>
        <w:rPr>
          <w:noProof/>
          <w:lang w:eastAsia="en-GB"/>
        </w:rPr>
        <w:lastRenderedPageBreak/>
        <w:drawing>
          <wp:inline distT="0" distB="0" distL="0" distR="0" wp14:anchorId="5CE119D7">
            <wp:extent cx="4810125" cy="2402205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4CB" w:rsidRDefault="008E14CB" w:rsidP="00CE122D">
      <w:r>
        <w:rPr>
          <w:noProof/>
          <w:lang w:eastAsia="en-GB"/>
        </w:rPr>
        <w:drawing>
          <wp:inline distT="0" distB="0" distL="0" distR="0" wp14:anchorId="233CEEF2">
            <wp:extent cx="4810125" cy="240792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4CB" w:rsidRDefault="008E14CB" w:rsidP="00CE122D">
      <w:r>
        <w:rPr>
          <w:noProof/>
          <w:lang w:eastAsia="en-GB"/>
        </w:rPr>
        <w:drawing>
          <wp:inline distT="0" distB="0" distL="0" distR="0" wp14:anchorId="647D9A02">
            <wp:extent cx="4810125" cy="2402205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4CB" w:rsidRDefault="008E14CB" w:rsidP="00CE122D">
      <w:r>
        <w:rPr>
          <w:noProof/>
          <w:lang w:eastAsia="en-GB"/>
        </w:rPr>
        <w:lastRenderedPageBreak/>
        <w:drawing>
          <wp:inline distT="0" distB="0" distL="0" distR="0" wp14:anchorId="02B5BD53">
            <wp:extent cx="4810125" cy="240792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4CB" w:rsidRDefault="008E14CB" w:rsidP="00CE122D">
      <w:r>
        <w:rPr>
          <w:noProof/>
          <w:lang w:eastAsia="en-GB"/>
        </w:rPr>
        <w:drawing>
          <wp:inline distT="0" distB="0" distL="0" distR="0" wp14:anchorId="4109A587">
            <wp:extent cx="4816475" cy="2407920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4CB" w:rsidRDefault="008E14CB" w:rsidP="00CE122D">
      <w:r>
        <w:rPr>
          <w:noProof/>
          <w:lang w:eastAsia="en-GB"/>
        </w:rPr>
        <w:drawing>
          <wp:inline distT="0" distB="0" distL="0" distR="0" wp14:anchorId="5DE62B95">
            <wp:extent cx="4810125" cy="240792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4CB" w:rsidRDefault="008E14CB" w:rsidP="00CE122D">
      <w:r>
        <w:rPr>
          <w:noProof/>
          <w:lang w:eastAsia="en-GB"/>
        </w:rPr>
        <w:lastRenderedPageBreak/>
        <w:drawing>
          <wp:inline distT="0" distB="0" distL="0" distR="0" wp14:anchorId="105624A0">
            <wp:extent cx="4810125" cy="240792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22D" w:rsidRDefault="00CE122D" w:rsidP="00CE122D"/>
    <w:p w:rsidR="00CE122D" w:rsidRDefault="00CE122D" w:rsidP="00CE122D"/>
    <w:p w:rsidR="00CE122D" w:rsidRDefault="00CE122D" w:rsidP="00CE122D"/>
    <w:p w:rsidR="00CE122D" w:rsidRDefault="00CE122D" w:rsidP="00CE122D"/>
    <w:p w:rsidR="00CE122D" w:rsidRDefault="00CE122D" w:rsidP="00CE122D"/>
    <w:p w:rsidR="00CE122D" w:rsidRDefault="00CE122D" w:rsidP="00CE122D"/>
    <w:p w:rsidR="00CE122D" w:rsidRDefault="00CE122D" w:rsidP="00CE122D"/>
    <w:p w:rsidR="00CE122D" w:rsidRDefault="00CE122D" w:rsidP="00CE122D"/>
    <w:p w:rsidR="00CE122D" w:rsidRDefault="00CE122D" w:rsidP="00CE122D"/>
    <w:p w:rsidR="00CE122D" w:rsidRDefault="00CE122D" w:rsidP="00CE122D"/>
    <w:p w:rsidR="00CE122D" w:rsidRDefault="00CE122D" w:rsidP="00CE122D"/>
    <w:p w:rsidR="008E14CB" w:rsidRDefault="008E14C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857A6" w:rsidRDefault="00C1020C" w:rsidP="00F90E16">
      <w:pPr>
        <w:pStyle w:val="Heading2"/>
      </w:pPr>
      <w:bookmarkStart w:id="10" w:name="_Toc516147518"/>
      <w:r>
        <w:lastRenderedPageBreak/>
        <w:t>APPENDIX</w:t>
      </w:r>
      <w:r w:rsidR="004857A6">
        <w:t xml:space="preserve"> </w:t>
      </w:r>
      <w:r w:rsidR="00CE122D">
        <w:t>4</w:t>
      </w:r>
      <w:r w:rsidR="004857A6">
        <w:t xml:space="preserve">: </w:t>
      </w:r>
      <w:r w:rsidR="00E37BA0">
        <w:t xml:space="preserve">Faculty Tables </w:t>
      </w:r>
      <w:r w:rsidR="00AB6C07">
        <w:t>by Key Questions</w:t>
      </w:r>
      <w:bookmarkEnd w:id="10"/>
      <w:r w:rsidR="00AB6C07">
        <w:t xml:space="preserve"> </w:t>
      </w:r>
    </w:p>
    <w:p w:rsidR="00035666" w:rsidRPr="00144C9C" w:rsidRDefault="00035666" w:rsidP="00144C9C">
      <w:pPr>
        <w:rPr>
          <w:rFonts w:ascii="Verdana" w:hAnsi="Verdana"/>
          <w:b/>
          <w:color w:val="548DD4" w:themeColor="text2" w:themeTint="99"/>
        </w:rPr>
      </w:pPr>
      <w:r w:rsidRPr="00144C9C">
        <w:rPr>
          <w:rFonts w:ascii="Verdana" w:hAnsi="Verdana"/>
          <w:b/>
          <w:color w:val="548DD4" w:themeColor="text2" w:themeTint="99"/>
        </w:rPr>
        <w:t>I feel that I am qualified to perform the PAT role (e.g. through experience, training etc)</w:t>
      </w:r>
    </w:p>
    <w:tbl>
      <w:tblPr>
        <w:tblStyle w:val="LightList-Accent1"/>
        <w:tblW w:w="8190" w:type="dxa"/>
        <w:tblLook w:val="04A0" w:firstRow="1" w:lastRow="0" w:firstColumn="1" w:lastColumn="0" w:noHBand="0" w:noVBand="1"/>
      </w:tblPr>
      <w:tblGrid>
        <w:gridCol w:w="2910"/>
        <w:gridCol w:w="1320"/>
        <w:gridCol w:w="1320"/>
        <w:gridCol w:w="1320"/>
        <w:gridCol w:w="1320"/>
      </w:tblGrid>
      <w:tr w:rsidR="00035666" w:rsidRPr="00035666" w:rsidTr="00035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035666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FAST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FBL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FEH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FHS</w:t>
            </w:r>
          </w:p>
        </w:tc>
      </w:tr>
      <w:tr w:rsidR="00035666" w:rsidRPr="00035666" w:rsidTr="0003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035666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Agree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82.9%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91.1%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95.5%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87.7%</w:t>
            </w:r>
          </w:p>
        </w:tc>
      </w:tr>
      <w:tr w:rsidR="00035666" w:rsidRPr="00035666" w:rsidTr="0003566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035666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Neither Agree or Disagree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2.9%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4.4%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4.5%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6.2%</w:t>
            </w:r>
          </w:p>
        </w:tc>
      </w:tr>
      <w:tr w:rsidR="00035666" w:rsidRPr="00035666" w:rsidTr="0003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035666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Disagree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14.3%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4.4%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0.0%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6.2%</w:t>
            </w:r>
          </w:p>
        </w:tc>
      </w:tr>
    </w:tbl>
    <w:p w:rsidR="00E37BA0" w:rsidRPr="00035666" w:rsidRDefault="00E37BA0" w:rsidP="00E37BA0">
      <w:pPr>
        <w:rPr>
          <w:rFonts w:ascii="Verdana" w:hAnsi="Verdana"/>
        </w:rPr>
      </w:pPr>
    </w:p>
    <w:p w:rsidR="00035666" w:rsidRPr="00144C9C" w:rsidRDefault="00035666" w:rsidP="00144C9C">
      <w:pPr>
        <w:rPr>
          <w:rFonts w:ascii="Verdana" w:hAnsi="Verdana"/>
          <w:b/>
          <w:color w:val="548DD4" w:themeColor="text2" w:themeTint="99"/>
        </w:rPr>
      </w:pPr>
      <w:r w:rsidRPr="00144C9C">
        <w:rPr>
          <w:rFonts w:ascii="Verdana" w:hAnsi="Verdana"/>
          <w:b/>
          <w:color w:val="548DD4" w:themeColor="text2" w:themeTint="99"/>
        </w:rPr>
        <w:t>I have appropriate resources to help me perform the PAT role (e.g. PAT web area, peer support)</w:t>
      </w:r>
    </w:p>
    <w:tbl>
      <w:tblPr>
        <w:tblStyle w:val="LightList-Accent1"/>
        <w:tblW w:w="8190" w:type="dxa"/>
        <w:tblLook w:val="04A0" w:firstRow="1" w:lastRow="0" w:firstColumn="1" w:lastColumn="0" w:noHBand="0" w:noVBand="1"/>
      </w:tblPr>
      <w:tblGrid>
        <w:gridCol w:w="2910"/>
        <w:gridCol w:w="1320"/>
        <w:gridCol w:w="1320"/>
        <w:gridCol w:w="1320"/>
        <w:gridCol w:w="1320"/>
      </w:tblGrid>
      <w:tr w:rsidR="00035666" w:rsidRPr="00035666" w:rsidTr="00AB6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FAST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FBL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FEH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FHS</w:t>
            </w:r>
          </w:p>
        </w:tc>
      </w:tr>
      <w:tr w:rsidR="00035666" w:rsidRPr="00035666" w:rsidTr="00AB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Agree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40.5%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51.2%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80.5%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53.8%</w:t>
            </w:r>
          </w:p>
        </w:tc>
      </w:tr>
      <w:tr w:rsidR="00035666" w:rsidRPr="00035666" w:rsidTr="00AB6C0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Neither Agree or Disagree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21.6%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17.1%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17.1%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15.4%</w:t>
            </w:r>
          </w:p>
        </w:tc>
      </w:tr>
      <w:tr w:rsidR="00035666" w:rsidRPr="00035666" w:rsidTr="00AB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Disagree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37.8%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39.0%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12.2%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29.5%</w:t>
            </w:r>
          </w:p>
        </w:tc>
      </w:tr>
    </w:tbl>
    <w:p w:rsidR="00035666" w:rsidRPr="00035666" w:rsidRDefault="00035666" w:rsidP="00035666">
      <w:pPr>
        <w:rPr>
          <w:rFonts w:ascii="Verdana" w:hAnsi="Verdana"/>
        </w:rPr>
      </w:pPr>
    </w:p>
    <w:p w:rsidR="00035666" w:rsidRPr="00144C9C" w:rsidRDefault="00035666" w:rsidP="00144C9C">
      <w:pPr>
        <w:rPr>
          <w:rFonts w:ascii="Verdana" w:hAnsi="Verdana"/>
          <w:b/>
          <w:color w:val="548DD4" w:themeColor="text2" w:themeTint="99"/>
        </w:rPr>
      </w:pPr>
      <w:r w:rsidRPr="00144C9C">
        <w:rPr>
          <w:rFonts w:ascii="Verdana" w:hAnsi="Verdana"/>
          <w:b/>
          <w:color w:val="548DD4" w:themeColor="text2" w:themeTint="99"/>
        </w:rPr>
        <w:t>I have enough time to perform the PAT role</w:t>
      </w:r>
    </w:p>
    <w:tbl>
      <w:tblPr>
        <w:tblStyle w:val="LightList-Accent1"/>
        <w:tblW w:w="8190" w:type="dxa"/>
        <w:tblLook w:val="04A0" w:firstRow="1" w:lastRow="0" w:firstColumn="1" w:lastColumn="0" w:noHBand="0" w:noVBand="1"/>
      </w:tblPr>
      <w:tblGrid>
        <w:gridCol w:w="2910"/>
        <w:gridCol w:w="1320"/>
        <w:gridCol w:w="1320"/>
        <w:gridCol w:w="1320"/>
        <w:gridCol w:w="1320"/>
      </w:tblGrid>
      <w:tr w:rsidR="00035666" w:rsidRPr="00035666" w:rsidTr="00AB6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FAST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FBL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FEH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FHS</w:t>
            </w:r>
          </w:p>
        </w:tc>
      </w:tr>
      <w:tr w:rsidR="00035666" w:rsidRPr="00035666" w:rsidTr="00AB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Agree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18.9%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31.7%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41.5%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25.6%</w:t>
            </w:r>
          </w:p>
        </w:tc>
      </w:tr>
      <w:tr w:rsidR="00035666" w:rsidRPr="00035666" w:rsidTr="00AB6C0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Neither Agree or Disagree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13.5%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0.0%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22.0%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9.0%</w:t>
            </w:r>
          </w:p>
        </w:tc>
      </w:tr>
      <w:tr w:rsidR="00035666" w:rsidRPr="00035666" w:rsidTr="00AB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Disagree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67.6%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68.3%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36.6%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35666">
              <w:rPr>
                <w:rFonts w:ascii="Verdana" w:hAnsi="Verdana"/>
              </w:rPr>
              <w:t>65.4%</w:t>
            </w:r>
          </w:p>
        </w:tc>
      </w:tr>
    </w:tbl>
    <w:p w:rsidR="00035666" w:rsidRPr="00035666" w:rsidRDefault="00035666" w:rsidP="00035666">
      <w:pPr>
        <w:rPr>
          <w:rFonts w:ascii="Verdana" w:hAnsi="Verdana"/>
        </w:rPr>
      </w:pPr>
    </w:p>
    <w:p w:rsidR="00035666" w:rsidRPr="00144C9C" w:rsidRDefault="00035666" w:rsidP="00144C9C">
      <w:pPr>
        <w:rPr>
          <w:rFonts w:ascii="Verdana" w:hAnsi="Verdana"/>
          <w:b/>
          <w:color w:val="548DD4" w:themeColor="text2" w:themeTint="99"/>
        </w:rPr>
      </w:pPr>
      <w:r w:rsidRPr="00144C9C">
        <w:rPr>
          <w:rFonts w:ascii="Verdana" w:hAnsi="Verdana"/>
          <w:b/>
          <w:color w:val="548DD4" w:themeColor="text2" w:themeTint="99"/>
        </w:rPr>
        <w:t>I work closely with others in my team to support high-quality PAT provision for students</w:t>
      </w:r>
    </w:p>
    <w:tbl>
      <w:tblPr>
        <w:tblStyle w:val="LightList-Accent1"/>
        <w:tblW w:w="8190" w:type="dxa"/>
        <w:tblLook w:val="04A0" w:firstRow="1" w:lastRow="0" w:firstColumn="1" w:lastColumn="0" w:noHBand="0" w:noVBand="1"/>
      </w:tblPr>
      <w:tblGrid>
        <w:gridCol w:w="2910"/>
        <w:gridCol w:w="1320"/>
        <w:gridCol w:w="1320"/>
        <w:gridCol w:w="1320"/>
        <w:gridCol w:w="1320"/>
      </w:tblGrid>
      <w:tr w:rsidR="00035666" w:rsidRPr="00035666" w:rsidTr="00AB6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FAST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FBL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FEH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FHS</w:t>
            </w:r>
          </w:p>
        </w:tc>
      </w:tr>
      <w:tr w:rsidR="00035666" w:rsidRPr="00035666" w:rsidTr="00AB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Agree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87.2%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76.2%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97.6%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84.3%</w:t>
            </w:r>
          </w:p>
        </w:tc>
      </w:tr>
      <w:tr w:rsidR="00035666" w:rsidRPr="00035666" w:rsidTr="00AB6C0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Neither Agree or Disagree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5.1%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7.1%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2.4%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2.4%</w:t>
            </w:r>
          </w:p>
        </w:tc>
      </w:tr>
      <w:tr w:rsidR="00035666" w:rsidRPr="00035666" w:rsidTr="00AB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Disagree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7.7%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16.7%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0.0%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13.3%</w:t>
            </w:r>
          </w:p>
        </w:tc>
      </w:tr>
    </w:tbl>
    <w:p w:rsidR="00035666" w:rsidRDefault="00035666" w:rsidP="00035666">
      <w:pPr>
        <w:rPr>
          <w:rFonts w:ascii="Verdana" w:hAnsi="Verdana"/>
        </w:rPr>
      </w:pPr>
    </w:p>
    <w:p w:rsidR="00035666" w:rsidRPr="00144C9C" w:rsidRDefault="00035666" w:rsidP="00144C9C">
      <w:pPr>
        <w:rPr>
          <w:rFonts w:ascii="Verdana" w:hAnsi="Verdana"/>
          <w:b/>
          <w:color w:val="548DD4" w:themeColor="text2" w:themeTint="99"/>
        </w:rPr>
      </w:pPr>
      <w:r w:rsidRPr="00144C9C">
        <w:rPr>
          <w:rFonts w:ascii="Verdana" w:hAnsi="Verdana"/>
          <w:b/>
          <w:color w:val="548DD4" w:themeColor="text2" w:themeTint="99"/>
        </w:rPr>
        <w:t>Students who are not assigned to me (as a PAT) still come to me for support</w:t>
      </w:r>
    </w:p>
    <w:tbl>
      <w:tblPr>
        <w:tblStyle w:val="LightList-Accent1"/>
        <w:tblW w:w="8190" w:type="dxa"/>
        <w:tblLook w:val="04A0" w:firstRow="1" w:lastRow="0" w:firstColumn="1" w:lastColumn="0" w:noHBand="0" w:noVBand="1"/>
      </w:tblPr>
      <w:tblGrid>
        <w:gridCol w:w="2910"/>
        <w:gridCol w:w="1320"/>
        <w:gridCol w:w="1320"/>
        <w:gridCol w:w="1320"/>
        <w:gridCol w:w="1320"/>
      </w:tblGrid>
      <w:tr w:rsidR="00035666" w:rsidRPr="00035666" w:rsidTr="00AB6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FAST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FBL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FEH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FHS</w:t>
            </w:r>
          </w:p>
        </w:tc>
      </w:tr>
      <w:tr w:rsidR="00035666" w:rsidRPr="00035666" w:rsidTr="00AB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Agree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94.7%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93.5%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91.1%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92.3%</w:t>
            </w:r>
          </w:p>
        </w:tc>
      </w:tr>
      <w:tr w:rsidR="00035666" w:rsidRPr="00035666" w:rsidTr="00AB6C0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Neither Agree or Disagree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5.3%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0.0%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4.4%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1.3%</w:t>
            </w:r>
          </w:p>
        </w:tc>
      </w:tr>
      <w:tr w:rsidR="00035666" w:rsidRPr="00035666" w:rsidTr="00AB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Disagree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0.0%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6.5%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4.4%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6.4%</w:t>
            </w:r>
          </w:p>
        </w:tc>
      </w:tr>
    </w:tbl>
    <w:p w:rsidR="00035666" w:rsidRPr="00035666" w:rsidRDefault="00035666" w:rsidP="00035666">
      <w:pPr>
        <w:rPr>
          <w:rFonts w:ascii="Verdana" w:hAnsi="Verdana"/>
        </w:rPr>
      </w:pPr>
    </w:p>
    <w:p w:rsidR="00035666" w:rsidRPr="00144C9C" w:rsidRDefault="00035666" w:rsidP="00144C9C">
      <w:pPr>
        <w:rPr>
          <w:rFonts w:ascii="Verdana" w:hAnsi="Verdana"/>
          <w:b/>
          <w:color w:val="548DD4" w:themeColor="text2" w:themeTint="99"/>
        </w:rPr>
      </w:pPr>
      <w:r w:rsidRPr="00144C9C">
        <w:rPr>
          <w:rFonts w:ascii="Verdana" w:hAnsi="Verdana"/>
          <w:b/>
          <w:color w:val="548DD4" w:themeColor="text2" w:themeTint="99"/>
        </w:rPr>
        <w:lastRenderedPageBreak/>
        <w:t>In my work as a PAT, I know I have made a positive impact on the lives of my tutees</w:t>
      </w:r>
    </w:p>
    <w:tbl>
      <w:tblPr>
        <w:tblStyle w:val="LightList-Accent1"/>
        <w:tblW w:w="8190" w:type="dxa"/>
        <w:tblLook w:val="04A0" w:firstRow="1" w:lastRow="0" w:firstColumn="1" w:lastColumn="0" w:noHBand="0" w:noVBand="1"/>
      </w:tblPr>
      <w:tblGrid>
        <w:gridCol w:w="2910"/>
        <w:gridCol w:w="1320"/>
        <w:gridCol w:w="1320"/>
        <w:gridCol w:w="1320"/>
        <w:gridCol w:w="1320"/>
      </w:tblGrid>
      <w:tr w:rsidR="00035666" w:rsidRPr="00035666" w:rsidTr="00AB6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FAST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FBL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FEH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FHS</w:t>
            </w:r>
          </w:p>
        </w:tc>
      </w:tr>
      <w:tr w:rsidR="00035666" w:rsidRPr="00035666" w:rsidTr="00AB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Agree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83.8%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90.5%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93.0%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95.9%</w:t>
            </w:r>
          </w:p>
        </w:tc>
      </w:tr>
      <w:tr w:rsidR="00035666" w:rsidRPr="00035666" w:rsidTr="00AB6C0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Neither Agree or Disagree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16.2%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9.5%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7.0%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2.7%</w:t>
            </w:r>
          </w:p>
        </w:tc>
      </w:tr>
      <w:tr w:rsidR="00035666" w:rsidRPr="00035666" w:rsidTr="00AB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Disagree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0.0%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0.0%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0.0%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1.4%</w:t>
            </w:r>
          </w:p>
        </w:tc>
      </w:tr>
    </w:tbl>
    <w:p w:rsidR="00035666" w:rsidRPr="00035666" w:rsidRDefault="00035666" w:rsidP="00035666">
      <w:pPr>
        <w:rPr>
          <w:rFonts w:ascii="Verdana" w:hAnsi="Verdana"/>
        </w:rPr>
      </w:pPr>
    </w:p>
    <w:p w:rsidR="00035666" w:rsidRPr="00144C9C" w:rsidRDefault="00035666" w:rsidP="00144C9C">
      <w:pPr>
        <w:rPr>
          <w:rFonts w:ascii="Verdana" w:hAnsi="Verdana"/>
          <w:b/>
          <w:color w:val="548DD4" w:themeColor="text2" w:themeTint="99"/>
        </w:rPr>
      </w:pPr>
      <w:r w:rsidRPr="00144C9C">
        <w:rPr>
          <w:rFonts w:ascii="Verdana" w:hAnsi="Verdana"/>
          <w:b/>
          <w:color w:val="548DD4" w:themeColor="text2" w:themeTint="99"/>
        </w:rPr>
        <w:t>I feel confident in the pastoral/personal aspect of the PAT role</w:t>
      </w:r>
    </w:p>
    <w:tbl>
      <w:tblPr>
        <w:tblStyle w:val="LightList-Accent1"/>
        <w:tblW w:w="8190" w:type="dxa"/>
        <w:tblLook w:val="04A0" w:firstRow="1" w:lastRow="0" w:firstColumn="1" w:lastColumn="0" w:noHBand="0" w:noVBand="1"/>
      </w:tblPr>
      <w:tblGrid>
        <w:gridCol w:w="2910"/>
        <w:gridCol w:w="1320"/>
        <w:gridCol w:w="1320"/>
        <w:gridCol w:w="1320"/>
        <w:gridCol w:w="1320"/>
      </w:tblGrid>
      <w:tr w:rsidR="00035666" w:rsidRPr="00035666" w:rsidTr="00AB6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FAST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FBL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FEH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FHS</w:t>
            </w:r>
          </w:p>
        </w:tc>
      </w:tr>
      <w:tr w:rsidR="00035666" w:rsidRPr="00035666" w:rsidTr="00AB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Agree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75.7%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86.0%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95.1%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84.4%</w:t>
            </w:r>
          </w:p>
        </w:tc>
      </w:tr>
      <w:tr w:rsidR="00035666" w:rsidRPr="00035666" w:rsidTr="00AB6C0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Neither Agree or Disagree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13.5%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2.3%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2.4%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7.8%</w:t>
            </w:r>
          </w:p>
        </w:tc>
      </w:tr>
      <w:tr w:rsidR="00035666" w:rsidRPr="00035666" w:rsidTr="00AB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Disagree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10.8%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11.6%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2.4%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7.8%</w:t>
            </w:r>
          </w:p>
        </w:tc>
      </w:tr>
    </w:tbl>
    <w:p w:rsidR="00035666" w:rsidRPr="00035666" w:rsidRDefault="00035666" w:rsidP="00035666">
      <w:pPr>
        <w:rPr>
          <w:rFonts w:ascii="Verdana" w:hAnsi="Verdana"/>
        </w:rPr>
      </w:pPr>
    </w:p>
    <w:p w:rsidR="00035666" w:rsidRPr="00035666" w:rsidRDefault="00035666" w:rsidP="00144C9C">
      <w:pPr>
        <w:rPr>
          <w:rFonts w:ascii="Verdana" w:hAnsi="Verdana"/>
        </w:rPr>
      </w:pPr>
      <w:r w:rsidRPr="00144C9C">
        <w:rPr>
          <w:rFonts w:ascii="Verdana" w:hAnsi="Verdana"/>
          <w:b/>
          <w:color w:val="548DD4" w:themeColor="text2" w:themeTint="99"/>
        </w:rPr>
        <w:t>I feel confident in the academic support aspect of the PAT role</w:t>
      </w:r>
    </w:p>
    <w:tbl>
      <w:tblPr>
        <w:tblStyle w:val="LightList-Accent1"/>
        <w:tblW w:w="8190" w:type="dxa"/>
        <w:tblLook w:val="04A0" w:firstRow="1" w:lastRow="0" w:firstColumn="1" w:lastColumn="0" w:noHBand="0" w:noVBand="1"/>
      </w:tblPr>
      <w:tblGrid>
        <w:gridCol w:w="2910"/>
        <w:gridCol w:w="1320"/>
        <w:gridCol w:w="1320"/>
        <w:gridCol w:w="1320"/>
        <w:gridCol w:w="1320"/>
      </w:tblGrid>
      <w:tr w:rsidR="00035666" w:rsidRPr="00035666" w:rsidTr="00AB6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FAST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FBL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FEH</w:t>
            </w:r>
          </w:p>
        </w:tc>
        <w:tc>
          <w:tcPr>
            <w:tcW w:w="1320" w:type="dxa"/>
            <w:noWrap/>
            <w:hideMark/>
          </w:tcPr>
          <w:p w:rsidR="00035666" w:rsidRPr="00035666" w:rsidRDefault="00035666" w:rsidP="00AB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lang w:eastAsia="en-GB"/>
              </w:rPr>
            </w:pPr>
            <w:r w:rsidRPr="00035666">
              <w:rPr>
                <w:rFonts w:ascii="Verdana" w:eastAsia="Times New Roman" w:hAnsi="Verdana" w:cs="Arial"/>
                <w:lang w:eastAsia="en-GB"/>
              </w:rPr>
              <w:t>FHS</w:t>
            </w:r>
          </w:p>
        </w:tc>
      </w:tr>
      <w:tr w:rsidR="00035666" w:rsidRPr="00035666" w:rsidTr="00AB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Agree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94.1%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91.1%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90.0%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80.3%</w:t>
            </w:r>
          </w:p>
        </w:tc>
      </w:tr>
      <w:tr w:rsidR="00035666" w:rsidRPr="00035666" w:rsidTr="00AB6C0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Neither Agree or Disagree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2.9%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0.0%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5.0%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10.5%</w:t>
            </w:r>
          </w:p>
        </w:tc>
      </w:tr>
      <w:tr w:rsidR="00035666" w:rsidRPr="00035666" w:rsidTr="00AB6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noWrap/>
            <w:hideMark/>
          </w:tcPr>
          <w:p w:rsidR="00035666" w:rsidRPr="00035666" w:rsidRDefault="00035666" w:rsidP="00AB6C07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035666">
              <w:rPr>
                <w:rFonts w:ascii="Verdana" w:eastAsia="Times New Roman" w:hAnsi="Verdana" w:cs="Times New Roman"/>
                <w:color w:val="000000"/>
                <w:lang w:eastAsia="en-GB"/>
              </w:rPr>
              <w:t>Disagree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2.9%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8.9%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5.0%</w:t>
            </w:r>
          </w:p>
        </w:tc>
        <w:tc>
          <w:tcPr>
            <w:tcW w:w="1320" w:type="dxa"/>
            <w:noWrap/>
            <w:vAlign w:val="bottom"/>
            <w:hideMark/>
          </w:tcPr>
          <w:p w:rsidR="00035666" w:rsidRDefault="00035666" w:rsidP="00035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9.2%</w:t>
            </w:r>
          </w:p>
        </w:tc>
      </w:tr>
    </w:tbl>
    <w:p w:rsidR="00035666" w:rsidRPr="00035666" w:rsidRDefault="00035666" w:rsidP="00035666">
      <w:pPr>
        <w:rPr>
          <w:rFonts w:ascii="Verdana" w:hAnsi="Verdana"/>
        </w:rPr>
      </w:pPr>
    </w:p>
    <w:p w:rsidR="00035666" w:rsidRDefault="00035666" w:rsidP="00E37BA0"/>
    <w:sectPr w:rsidR="00035666" w:rsidSect="00347536">
      <w:footerReference w:type="default" r:id="rId2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EDC" w:rsidRDefault="003A0EDC" w:rsidP="00C666B6">
      <w:pPr>
        <w:spacing w:after="0" w:line="240" w:lineRule="auto"/>
      </w:pPr>
      <w:r>
        <w:separator/>
      </w:r>
    </w:p>
  </w:endnote>
  <w:endnote w:type="continuationSeparator" w:id="0">
    <w:p w:rsidR="003A0EDC" w:rsidRDefault="003A0EDC" w:rsidP="00C6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DC" w:rsidRDefault="003A0EDC">
    <w:pPr>
      <w:pStyle w:val="Footer"/>
      <w:jc w:val="right"/>
    </w:pPr>
  </w:p>
  <w:p w:rsidR="003A0EDC" w:rsidRDefault="003A0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057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EDC" w:rsidRDefault="003A0E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F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EDC" w:rsidRDefault="003A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EDC" w:rsidRDefault="003A0EDC" w:rsidP="00C666B6">
      <w:pPr>
        <w:spacing w:after="0" w:line="240" w:lineRule="auto"/>
      </w:pPr>
      <w:r>
        <w:separator/>
      </w:r>
    </w:p>
  </w:footnote>
  <w:footnote w:type="continuationSeparator" w:id="0">
    <w:p w:rsidR="003A0EDC" w:rsidRDefault="003A0EDC" w:rsidP="00C6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DC" w:rsidRDefault="003A0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AD1"/>
    <w:multiLevelType w:val="hybridMultilevel"/>
    <w:tmpl w:val="90849D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3C22"/>
    <w:multiLevelType w:val="hybridMultilevel"/>
    <w:tmpl w:val="019872C4"/>
    <w:lvl w:ilvl="0" w:tplc="A1BC51A8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25BA"/>
    <w:multiLevelType w:val="hybridMultilevel"/>
    <w:tmpl w:val="68089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407C"/>
    <w:multiLevelType w:val="hybridMultilevel"/>
    <w:tmpl w:val="316A17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925BC"/>
    <w:multiLevelType w:val="hybridMultilevel"/>
    <w:tmpl w:val="B964BE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E485B"/>
    <w:multiLevelType w:val="hybridMultilevel"/>
    <w:tmpl w:val="27CE61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33116"/>
    <w:multiLevelType w:val="hybridMultilevel"/>
    <w:tmpl w:val="FFFAA5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036C1"/>
    <w:multiLevelType w:val="hybridMultilevel"/>
    <w:tmpl w:val="1DD4C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D10D3"/>
    <w:multiLevelType w:val="hybridMultilevel"/>
    <w:tmpl w:val="BFE06A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10454"/>
    <w:multiLevelType w:val="hybridMultilevel"/>
    <w:tmpl w:val="A7B086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348F5"/>
    <w:multiLevelType w:val="hybridMultilevel"/>
    <w:tmpl w:val="9B7A3E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7785"/>
    <w:multiLevelType w:val="hybridMultilevel"/>
    <w:tmpl w:val="F6DA8F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21C6E"/>
    <w:multiLevelType w:val="hybridMultilevel"/>
    <w:tmpl w:val="1F5461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1769A"/>
    <w:multiLevelType w:val="hybridMultilevel"/>
    <w:tmpl w:val="D6D8B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BE"/>
    <w:rsid w:val="00003471"/>
    <w:rsid w:val="00033267"/>
    <w:rsid w:val="00035666"/>
    <w:rsid w:val="00037D14"/>
    <w:rsid w:val="000744E1"/>
    <w:rsid w:val="000A0F79"/>
    <w:rsid w:val="000C6DF8"/>
    <w:rsid w:val="000F70DC"/>
    <w:rsid w:val="00114995"/>
    <w:rsid w:val="0013285A"/>
    <w:rsid w:val="00144C9C"/>
    <w:rsid w:val="00150366"/>
    <w:rsid w:val="001840E0"/>
    <w:rsid w:val="00192046"/>
    <w:rsid w:val="001930F4"/>
    <w:rsid w:val="001C06AC"/>
    <w:rsid w:val="00203C6F"/>
    <w:rsid w:val="00267F08"/>
    <w:rsid w:val="00286305"/>
    <w:rsid w:val="00290682"/>
    <w:rsid w:val="002912AF"/>
    <w:rsid w:val="00300CE0"/>
    <w:rsid w:val="00311DD5"/>
    <w:rsid w:val="00347536"/>
    <w:rsid w:val="00386890"/>
    <w:rsid w:val="003A0EDC"/>
    <w:rsid w:val="004263BC"/>
    <w:rsid w:val="004339FF"/>
    <w:rsid w:val="00446672"/>
    <w:rsid w:val="00477229"/>
    <w:rsid w:val="004857A6"/>
    <w:rsid w:val="005220F0"/>
    <w:rsid w:val="00551BBA"/>
    <w:rsid w:val="00557248"/>
    <w:rsid w:val="0057294A"/>
    <w:rsid w:val="005B0C98"/>
    <w:rsid w:val="005F02EA"/>
    <w:rsid w:val="00627557"/>
    <w:rsid w:val="006357CC"/>
    <w:rsid w:val="0065083C"/>
    <w:rsid w:val="00650D76"/>
    <w:rsid w:val="006750DB"/>
    <w:rsid w:val="006B4E0E"/>
    <w:rsid w:val="006C37A9"/>
    <w:rsid w:val="006E1020"/>
    <w:rsid w:val="006F70BE"/>
    <w:rsid w:val="00744E6F"/>
    <w:rsid w:val="007506AD"/>
    <w:rsid w:val="0075252D"/>
    <w:rsid w:val="00787397"/>
    <w:rsid w:val="007A0346"/>
    <w:rsid w:val="007A7B8A"/>
    <w:rsid w:val="00821EB1"/>
    <w:rsid w:val="00841433"/>
    <w:rsid w:val="00851448"/>
    <w:rsid w:val="008643ED"/>
    <w:rsid w:val="00867EB9"/>
    <w:rsid w:val="00877073"/>
    <w:rsid w:val="00895BBC"/>
    <w:rsid w:val="008A2AD5"/>
    <w:rsid w:val="008C00B4"/>
    <w:rsid w:val="008C350F"/>
    <w:rsid w:val="008D1787"/>
    <w:rsid w:val="008E14CB"/>
    <w:rsid w:val="008F62FA"/>
    <w:rsid w:val="00936664"/>
    <w:rsid w:val="00962F2D"/>
    <w:rsid w:val="009843C1"/>
    <w:rsid w:val="00997394"/>
    <w:rsid w:val="009A4494"/>
    <w:rsid w:val="009F15DE"/>
    <w:rsid w:val="009F4EE0"/>
    <w:rsid w:val="009F51FE"/>
    <w:rsid w:val="00A60E46"/>
    <w:rsid w:val="00AB6C07"/>
    <w:rsid w:val="00B1174C"/>
    <w:rsid w:val="00B346AB"/>
    <w:rsid w:val="00B71FAB"/>
    <w:rsid w:val="00BC40E9"/>
    <w:rsid w:val="00C00180"/>
    <w:rsid w:val="00C03A45"/>
    <w:rsid w:val="00C1020C"/>
    <w:rsid w:val="00C230D5"/>
    <w:rsid w:val="00C50560"/>
    <w:rsid w:val="00C561C0"/>
    <w:rsid w:val="00C666B6"/>
    <w:rsid w:val="00C70339"/>
    <w:rsid w:val="00C851F1"/>
    <w:rsid w:val="00CA35CA"/>
    <w:rsid w:val="00CA5BC2"/>
    <w:rsid w:val="00CA7CC1"/>
    <w:rsid w:val="00CC0EF5"/>
    <w:rsid w:val="00CD1F8A"/>
    <w:rsid w:val="00CE122D"/>
    <w:rsid w:val="00CF6C5B"/>
    <w:rsid w:val="00D45F49"/>
    <w:rsid w:val="00D53C5E"/>
    <w:rsid w:val="00DB06F7"/>
    <w:rsid w:val="00DB61F4"/>
    <w:rsid w:val="00DD2993"/>
    <w:rsid w:val="00DD2ED6"/>
    <w:rsid w:val="00DD5459"/>
    <w:rsid w:val="00DF1DEB"/>
    <w:rsid w:val="00DF5FCA"/>
    <w:rsid w:val="00E16917"/>
    <w:rsid w:val="00E3609E"/>
    <w:rsid w:val="00E37BA0"/>
    <w:rsid w:val="00E63773"/>
    <w:rsid w:val="00E8625C"/>
    <w:rsid w:val="00E94853"/>
    <w:rsid w:val="00EE1E19"/>
    <w:rsid w:val="00F4184C"/>
    <w:rsid w:val="00F4771C"/>
    <w:rsid w:val="00F55898"/>
    <w:rsid w:val="00F55F68"/>
    <w:rsid w:val="00F90E16"/>
    <w:rsid w:val="00F97A88"/>
    <w:rsid w:val="00FC49DF"/>
    <w:rsid w:val="00FD0B57"/>
    <w:rsid w:val="00FD1481"/>
    <w:rsid w:val="00FE0A48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C75B69-5057-46EC-B0CA-EB5B7FF9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0B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B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6F70BE"/>
    <w:pPr>
      <w:spacing w:after="0" w:line="240" w:lineRule="auto"/>
    </w:pPr>
    <w:rPr>
      <w:rFonts w:eastAsiaTheme="minorEastAsia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70BE"/>
    <w:rPr>
      <w:rFonts w:eastAsiaTheme="minorEastAsia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F70B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paragraph" w:styleId="ListParagraph">
    <w:name w:val="List Paragraph"/>
    <w:basedOn w:val="Normal"/>
    <w:uiPriority w:val="34"/>
    <w:qFormat/>
    <w:rsid w:val="006F70BE"/>
    <w:pPr>
      <w:ind w:left="720"/>
      <w:contextualSpacing/>
    </w:pPr>
  </w:style>
  <w:style w:type="table" w:styleId="TableGrid">
    <w:name w:val="Table Grid"/>
    <w:basedOn w:val="TableNormal"/>
    <w:uiPriority w:val="59"/>
    <w:rsid w:val="00E6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C230D5"/>
    <w:pPr>
      <w:numPr>
        <w:numId w:val="5"/>
      </w:numPr>
      <w:spacing w:before="200"/>
    </w:pPr>
    <w:rPr>
      <w:rFonts w:eastAsiaTheme="minorEastAs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6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6B6"/>
  </w:style>
  <w:style w:type="paragraph" w:styleId="Footer">
    <w:name w:val="footer"/>
    <w:basedOn w:val="Normal"/>
    <w:link w:val="FooterChar"/>
    <w:uiPriority w:val="99"/>
    <w:unhideWhenUsed/>
    <w:rsid w:val="00C6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6B6"/>
  </w:style>
  <w:style w:type="character" w:styleId="CommentReference">
    <w:name w:val="annotation reference"/>
    <w:basedOn w:val="DefaultParagraphFont"/>
    <w:uiPriority w:val="99"/>
    <w:semiHidden/>
    <w:unhideWhenUsed/>
    <w:rsid w:val="00A60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E4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95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5144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51448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51448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51448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51448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51448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51448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51448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51448"/>
    <w:pPr>
      <w:spacing w:after="0"/>
      <w:ind w:left="15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1448"/>
    <w:rPr>
      <w:color w:val="0000FF" w:themeColor="hyperlink"/>
      <w:u w:val="single"/>
    </w:rPr>
  </w:style>
  <w:style w:type="paragraph" w:customStyle="1" w:styleId="Default">
    <w:name w:val="Default"/>
    <w:rsid w:val="005572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1">
    <w:name w:val="Light List Accent 1"/>
    <w:basedOn w:val="TableNormal"/>
    <w:uiPriority w:val="61"/>
    <w:rsid w:val="00CD1F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356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28C2-5BA7-40CA-AE7E-7E9D5BAB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Academic Tutoring   Staff Survey Report </vt:lpstr>
    </vt:vector>
  </TitlesOfParts>
  <Company>University of Northampton</Company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Academic Tutoring   Staff Survey Report</dc:title>
  <dc:creator>Hinks Philippa</dc:creator>
  <cp:lastModifiedBy>Rachel Maxwell</cp:lastModifiedBy>
  <cp:revision>3</cp:revision>
  <cp:lastPrinted>2018-06-07T13:38:00Z</cp:lastPrinted>
  <dcterms:created xsi:type="dcterms:W3CDTF">2018-08-15T08:41:00Z</dcterms:created>
  <dcterms:modified xsi:type="dcterms:W3CDTF">2018-08-15T08:41:00Z</dcterms:modified>
</cp:coreProperties>
</file>