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1AF8" w14:textId="77777777" w:rsidR="005C2FE0" w:rsidRPr="004868C9" w:rsidRDefault="005356DD" w:rsidP="005C2FE0">
      <w:pPr>
        <w:spacing w:before="34" w:line="250" w:lineRule="auto"/>
        <w:ind w:left="779" w:right="607"/>
        <w:jc w:val="center"/>
        <w:rPr>
          <w:rFonts w:cs="Arial"/>
          <w:sz w:val="52"/>
        </w:rPr>
      </w:pPr>
      <w:r w:rsidRPr="004868C9">
        <w:rPr>
          <w:noProof/>
          <w:lang w:eastAsia="en-GB"/>
        </w:rPr>
        <w:drawing>
          <wp:anchor distT="0" distB="0" distL="114300" distR="114300" simplePos="0" relativeHeight="251658241" behindDoc="1" locked="0" layoutInCell="1" allowOverlap="1" wp14:anchorId="050A20A6" wp14:editId="4ADD5D06">
            <wp:simplePos x="0" y="0"/>
            <wp:positionH relativeFrom="page">
              <wp:posOffset>-38100</wp:posOffset>
            </wp:positionH>
            <wp:positionV relativeFrom="page">
              <wp:posOffset>1905</wp:posOffset>
            </wp:positionV>
            <wp:extent cx="7715250" cy="10883782"/>
            <wp:effectExtent l="171450" t="171450" r="381000" b="356235"/>
            <wp:wrapNone/>
            <wp:docPr id="192" name="Picture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Picture 19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5250" cy="10883782"/>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5C2FE0" w:rsidRPr="004868C9">
        <w:rPr>
          <w:rFonts w:cs="Arial"/>
          <w:noProof/>
          <w:lang w:eastAsia="en-GB"/>
        </w:rPr>
        <w:drawing>
          <wp:anchor distT="0" distB="0" distL="114300" distR="114300" simplePos="0" relativeHeight="251658240" behindDoc="0" locked="0" layoutInCell="1" allowOverlap="1" wp14:anchorId="5ADD09D3" wp14:editId="29469DB3">
            <wp:simplePos x="0" y="0"/>
            <wp:positionH relativeFrom="column">
              <wp:posOffset>266700</wp:posOffset>
            </wp:positionH>
            <wp:positionV relativeFrom="paragraph">
              <wp:posOffset>120015</wp:posOffset>
            </wp:positionV>
            <wp:extent cx="5248275" cy="892175"/>
            <wp:effectExtent l="0" t="0" r="952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248275" cy="892175"/>
                    </a:xfrm>
                    <a:prstGeom prst="rect">
                      <a:avLst/>
                    </a:prstGeom>
                  </pic:spPr>
                </pic:pic>
              </a:graphicData>
            </a:graphic>
          </wp:anchor>
        </w:drawing>
      </w:r>
    </w:p>
    <w:p w14:paraId="3B9A819F" w14:textId="77777777" w:rsidR="005C2FE0" w:rsidRPr="004868C9" w:rsidRDefault="005C2FE0" w:rsidP="005C2FE0">
      <w:pPr>
        <w:spacing w:before="34" w:line="250" w:lineRule="auto"/>
        <w:ind w:left="779" w:right="607"/>
        <w:jc w:val="center"/>
        <w:rPr>
          <w:rFonts w:cs="Arial"/>
          <w:sz w:val="52"/>
        </w:rPr>
      </w:pPr>
    </w:p>
    <w:p w14:paraId="316B8F53" w14:textId="77777777" w:rsidR="005C2FE0" w:rsidRPr="004868C9" w:rsidRDefault="005C2FE0" w:rsidP="005C2FE0">
      <w:pPr>
        <w:spacing w:before="34" w:line="250" w:lineRule="auto"/>
        <w:ind w:left="779" w:right="607"/>
        <w:jc w:val="center"/>
        <w:rPr>
          <w:rFonts w:cs="Arial"/>
          <w:spacing w:val="9"/>
          <w:sz w:val="32"/>
        </w:rPr>
      </w:pPr>
      <w:r w:rsidRPr="004868C9">
        <w:rPr>
          <w:rFonts w:cs="Arial"/>
          <w:sz w:val="52"/>
        </w:rPr>
        <w:t>Annual Review of</w:t>
      </w:r>
      <w:r w:rsidRPr="004868C9">
        <w:rPr>
          <w:rFonts w:cs="Arial"/>
          <w:spacing w:val="-28"/>
          <w:sz w:val="52"/>
        </w:rPr>
        <w:t xml:space="preserve"> </w:t>
      </w:r>
      <w:r w:rsidRPr="004868C9">
        <w:rPr>
          <w:rFonts w:cs="Arial"/>
          <w:sz w:val="52"/>
        </w:rPr>
        <w:t xml:space="preserve">Accredited Continuing Professional Development (CPD) Schemes </w:t>
      </w:r>
    </w:p>
    <w:p w14:paraId="06661F79" w14:textId="77777777" w:rsidR="005C2FE0" w:rsidRPr="004868C9" w:rsidRDefault="008F0689" w:rsidP="005C2FE0">
      <w:pPr>
        <w:spacing w:before="34" w:line="250" w:lineRule="auto"/>
        <w:ind w:left="779" w:right="607"/>
        <w:jc w:val="center"/>
        <w:rPr>
          <w:rFonts w:cs="Arial"/>
        </w:rPr>
      </w:pPr>
      <w:r w:rsidRPr="004868C9">
        <w:rPr>
          <w:rFonts w:cs="Arial"/>
          <w:sz w:val="32"/>
        </w:rPr>
        <w:t>2021-22</w:t>
      </w:r>
    </w:p>
    <w:tbl>
      <w:tblPr>
        <w:tblStyle w:val="TableGrid"/>
        <w:tblpPr w:leftFromText="180" w:rightFromText="180" w:vertAnchor="text" w:horzAnchor="margin" w:tblpXSpec="center" w:tblpY="148"/>
        <w:tblW w:w="0" w:type="auto"/>
        <w:tblLook w:val="04A0" w:firstRow="1" w:lastRow="0" w:firstColumn="1" w:lastColumn="0" w:noHBand="0" w:noVBand="1"/>
      </w:tblPr>
      <w:tblGrid>
        <w:gridCol w:w="3652"/>
        <w:gridCol w:w="4864"/>
      </w:tblGrid>
      <w:tr w:rsidR="004868C9" w:rsidRPr="004868C9" w14:paraId="640DFB17" w14:textId="77777777" w:rsidTr="004868C9">
        <w:trPr>
          <w:trHeight w:val="850"/>
        </w:trPr>
        <w:tc>
          <w:tcPr>
            <w:tcW w:w="3652" w:type="dxa"/>
            <w:shd w:val="clear" w:color="auto" w:fill="FFFFFF" w:themeFill="background1"/>
            <w:vAlign w:val="center"/>
          </w:tcPr>
          <w:p w14:paraId="16D220E7" w14:textId="77777777" w:rsidR="00974417" w:rsidRPr="004868C9" w:rsidRDefault="00974417" w:rsidP="00974417">
            <w:pPr>
              <w:jc w:val="center"/>
              <w:rPr>
                <w:rFonts w:eastAsia="Arial" w:cs="Arial"/>
                <w:sz w:val="28"/>
              </w:rPr>
            </w:pPr>
            <w:r w:rsidRPr="004868C9">
              <w:rPr>
                <w:rFonts w:cs="Arial"/>
                <w:w w:val="105"/>
                <w:sz w:val="28"/>
              </w:rPr>
              <w:t>Name</w:t>
            </w:r>
            <w:r w:rsidRPr="004868C9">
              <w:rPr>
                <w:rFonts w:cs="Arial"/>
                <w:spacing w:val="-19"/>
                <w:w w:val="105"/>
                <w:sz w:val="28"/>
              </w:rPr>
              <w:t xml:space="preserve"> </w:t>
            </w:r>
            <w:r w:rsidRPr="004868C9">
              <w:rPr>
                <w:rFonts w:cs="Arial"/>
                <w:w w:val="105"/>
                <w:sz w:val="28"/>
              </w:rPr>
              <w:t>of</w:t>
            </w:r>
            <w:r w:rsidRPr="004868C9">
              <w:rPr>
                <w:rFonts w:cs="Arial"/>
                <w:spacing w:val="-18"/>
                <w:w w:val="105"/>
                <w:sz w:val="28"/>
              </w:rPr>
              <w:t xml:space="preserve"> </w:t>
            </w:r>
            <w:r w:rsidRPr="004868C9">
              <w:rPr>
                <w:rFonts w:cs="Arial"/>
                <w:w w:val="105"/>
                <w:sz w:val="28"/>
              </w:rPr>
              <w:t>Institution</w:t>
            </w:r>
          </w:p>
        </w:tc>
        <w:tc>
          <w:tcPr>
            <w:tcW w:w="4864" w:type="dxa"/>
            <w:tcBorders>
              <w:top w:val="single" w:sz="2" w:space="0" w:color="auto"/>
              <w:left w:val="single" w:sz="2" w:space="0" w:color="auto"/>
              <w:bottom w:val="single" w:sz="2" w:space="0" w:color="auto"/>
              <w:right w:val="single" w:sz="2" w:space="0" w:color="auto"/>
            </w:tcBorders>
            <w:vAlign w:val="center"/>
          </w:tcPr>
          <w:p w14:paraId="1644FD63" w14:textId="77777777" w:rsidR="00093398" w:rsidRPr="004868C9" w:rsidRDefault="00093398" w:rsidP="00093398">
            <w:pPr>
              <w:rPr>
                <w:rFonts w:cs="Arial"/>
              </w:rPr>
            </w:pPr>
          </w:p>
          <w:p w14:paraId="6FB96CAB" w14:textId="77777777" w:rsidR="00E137D4" w:rsidRPr="004868C9" w:rsidRDefault="00E137D4" w:rsidP="00E137D4">
            <w:pPr>
              <w:rPr>
                <w:rFonts w:ascii="Open Sans" w:hAnsi="Open Sans" w:cs="Open Sans"/>
              </w:rPr>
            </w:pPr>
            <w:r w:rsidRPr="004868C9">
              <w:rPr>
                <w:rFonts w:ascii="Open Sans" w:hAnsi="Open Sans" w:cs="Open Sans"/>
              </w:rPr>
              <w:t>University of Northampton</w:t>
            </w:r>
          </w:p>
          <w:p w14:paraId="378AD4AE" w14:textId="77777777" w:rsidR="00974417" w:rsidRPr="004868C9" w:rsidRDefault="00974417" w:rsidP="00974417">
            <w:pPr>
              <w:rPr>
                <w:rFonts w:cs="Arial"/>
              </w:rPr>
            </w:pPr>
          </w:p>
        </w:tc>
      </w:tr>
      <w:tr w:rsidR="004868C9" w:rsidRPr="004868C9" w14:paraId="326E1407" w14:textId="77777777" w:rsidTr="004868C9">
        <w:trPr>
          <w:trHeight w:val="850"/>
        </w:trPr>
        <w:tc>
          <w:tcPr>
            <w:tcW w:w="3652" w:type="dxa"/>
            <w:shd w:val="clear" w:color="auto" w:fill="FFFFFF" w:themeFill="background1"/>
            <w:vAlign w:val="center"/>
          </w:tcPr>
          <w:p w14:paraId="07668012" w14:textId="77777777" w:rsidR="00974417" w:rsidRPr="004868C9" w:rsidRDefault="00974417" w:rsidP="00974417">
            <w:pPr>
              <w:ind w:left="110"/>
              <w:jc w:val="center"/>
              <w:rPr>
                <w:rFonts w:eastAsia="Arial" w:cs="Arial"/>
                <w:sz w:val="28"/>
              </w:rPr>
            </w:pPr>
            <w:r w:rsidRPr="004868C9">
              <w:rPr>
                <w:rFonts w:cs="Arial"/>
                <w:w w:val="105"/>
                <w:sz w:val="28"/>
              </w:rPr>
              <w:t>Name</w:t>
            </w:r>
            <w:r w:rsidRPr="004868C9">
              <w:rPr>
                <w:rFonts w:cs="Arial"/>
                <w:spacing w:val="-17"/>
                <w:w w:val="105"/>
                <w:sz w:val="28"/>
              </w:rPr>
              <w:t xml:space="preserve"> </w:t>
            </w:r>
            <w:r w:rsidRPr="004868C9">
              <w:rPr>
                <w:rFonts w:cs="Arial"/>
                <w:w w:val="105"/>
                <w:sz w:val="28"/>
              </w:rPr>
              <w:t>of</w:t>
            </w:r>
            <w:r w:rsidRPr="004868C9">
              <w:rPr>
                <w:rFonts w:cs="Arial"/>
                <w:spacing w:val="-17"/>
                <w:w w:val="105"/>
                <w:sz w:val="28"/>
              </w:rPr>
              <w:t xml:space="preserve"> </w:t>
            </w:r>
            <w:r w:rsidRPr="004868C9">
              <w:rPr>
                <w:rFonts w:cs="Arial"/>
                <w:w w:val="105"/>
                <w:sz w:val="28"/>
              </w:rPr>
              <w:t>Scheme</w:t>
            </w:r>
          </w:p>
        </w:tc>
        <w:tc>
          <w:tcPr>
            <w:tcW w:w="4864" w:type="dxa"/>
            <w:tcBorders>
              <w:top w:val="single" w:sz="2" w:space="0" w:color="auto"/>
              <w:left w:val="single" w:sz="2" w:space="0" w:color="auto"/>
              <w:bottom w:val="single" w:sz="2" w:space="0" w:color="auto"/>
              <w:right w:val="single" w:sz="2" w:space="0" w:color="auto"/>
            </w:tcBorders>
            <w:vAlign w:val="center"/>
          </w:tcPr>
          <w:p w14:paraId="024BD66F" w14:textId="77777777" w:rsidR="00974417" w:rsidRPr="004868C9" w:rsidRDefault="00E137D4" w:rsidP="00D676A4">
            <w:pPr>
              <w:rPr>
                <w:rFonts w:ascii="Open Sans" w:hAnsi="Open Sans" w:cs="Open Sans"/>
              </w:rPr>
            </w:pPr>
            <w:r w:rsidRPr="004868C9">
              <w:rPr>
                <w:rFonts w:ascii="Open Sans" w:hAnsi="Open Sans" w:cs="Open Sans"/>
              </w:rPr>
              <w:t>C@N-DO (Descriptors 1 - 3</w:t>
            </w:r>
            <w:r w:rsidR="00F15C8F" w:rsidRPr="004868C9">
              <w:rPr>
                <w:rFonts w:ascii="Open Sans" w:hAnsi="Open Sans" w:cs="Open Sans"/>
              </w:rPr>
              <w:t>)</w:t>
            </w:r>
          </w:p>
        </w:tc>
      </w:tr>
      <w:tr w:rsidR="004868C9" w:rsidRPr="004868C9" w14:paraId="4D1A2F82" w14:textId="77777777" w:rsidTr="004868C9">
        <w:trPr>
          <w:trHeight w:val="850"/>
        </w:trPr>
        <w:tc>
          <w:tcPr>
            <w:tcW w:w="3652" w:type="dxa"/>
            <w:shd w:val="clear" w:color="auto" w:fill="FFFFFF" w:themeFill="background1"/>
            <w:vAlign w:val="center"/>
          </w:tcPr>
          <w:p w14:paraId="440310C2" w14:textId="77777777" w:rsidR="00974417" w:rsidRPr="004868C9" w:rsidRDefault="00974417" w:rsidP="00974417">
            <w:pPr>
              <w:ind w:left="110"/>
              <w:jc w:val="center"/>
              <w:rPr>
                <w:rFonts w:eastAsia="Arial" w:cs="Arial"/>
                <w:sz w:val="28"/>
              </w:rPr>
            </w:pPr>
            <w:r w:rsidRPr="004868C9">
              <w:rPr>
                <w:rFonts w:cs="Arial"/>
                <w:w w:val="105"/>
                <w:sz w:val="28"/>
              </w:rPr>
              <w:t>Name</w:t>
            </w:r>
            <w:r w:rsidRPr="004868C9">
              <w:rPr>
                <w:rFonts w:cs="Arial"/>
                <w:spacing w:val="-15"/>
                <w:w w:val="105"/>
                <w:sz w:val="28"/>
              </w:rPr>
              <w:t xml:space="preserve"> </w:t>
            </w:r>
            <w:r w:rsidRPr="004868C9">
              <w:rPr>
                <w:rFonts w:cs="Arial"/>
                <w:w w:val="105"/>
                <w:sz w:val="28"/>
              </w:rPr>
              <w:t>of</w:t>
            </w:r>
            <w:r w:rsidRPr="004868C9">
              <w:rPr>
                <w:rFonts w:cs="Arial"/>
                <w:spacing w:val="-15"/>
                <w:w w:val="105"/>
                <w:sz w:val="28"/>
              </w:rPr>
              <w:t xml:space="preserve"> </w:t>
            </w:r>
            <w:r w:rsidRPr="004868C9">
              <w:rPr>
                <w:rFonts w:cs="Arial"/>
                <w:w w:val="105"/>
                <w:sz w:val="28"/>
              </w:rPr>
              <w:t>CPD</w:t>
            </w:r>
            <w:r w:rsidRPr="004868C9">
              <w:rPr>
                <w:rFonts w:cs="Arial"/>
                <w:spacing w:val="-15"/>
                <w:w w:val="105"/>
                <w:sz w:val="28"/>
              </w:rPr>
              <w:t xml:space="preserve"> </w:t>
            </w:r>
            <w:r w:rsidRPr="004868C9">
              <w:rPr>
                <w:rFonts w:cs="Arial"/>
                <w:w w:val="105"/>
                <w:sz w:val="28"/>
              </w:rPr>
              <w:t>Scheme</w:t>
            </w:r>
            <w:r w:rsidRPr="004868C9">
              <w:rPr>
                <w:rFonts w:cs="Arial"/>
                <w:spacing w:val="-14"/>
                <w:w w:val="105"/>
                <w:sz w:val="28"/>
              </w:rPr>
              <w:t xml:space="preserve"> </w:t>
            </w:r>
            <w:r w:rsidRPr="004868C9">
              <w:rPr>
                <w:rFonts w:cs="Arial"/>
                <w:w w:val="105"/>
                <w:sz w:val="28"/>
              </w:rPr>
              <w:t>Leader</w:t>
            </w:r>
            <w:r w:rsidR="00B21AF0" w:rsidRPr="004868C9">
              <w:rPr>
                <w:rFonts w:cs="Arial"/>
                <w:w w:val="105"/>
                <w:sz w:val="28"/>
              </w:rPr>
              <w:t>(</w:t>
            </w:r>
            <w:r w:rsidRPr="004868C9">
              <w:rPr>
                <w:rFonts w:cs="Arial"/>
                <w:w w:val="105"/>
                <w:sz w:val="28"/>
              </w:rPr>
              <w:t>s</w:t>
            </w:r>
            <w:r w:rsidR="00B21AF0" w:rsidRPr="004868C9">
              <w:rPr>
                <w:rFonts w:cs="Arial"/>
                <w:w w:val="105"/>
                <w:sz w:val="28"/>
              </w:rPr>
              <w:t>)</w:t>
            </w:r>
          </w:p>
        </w:tc>
        <w:tc>
          <w:tcPr>
            <w:tcW w:w="4864" w:type="dxa"/>
            <w:tcBorders>
              <w:top w:val="single" w:sz="2" w:space="0" w:color="auto"/>
              <w:left w:val="single" w:sz="2" w:space="0" w:color="auto"/>
              <w:bottom w:val="single" w:sz="2" w:space="0" w:color="auto"/>
              <w:right w:val="single" w:sz="2" w:space="0" w:color="auto"/>
            </w:tcBorders>
            <w:vAlign w:val="center"/>
          </w:tcPr>
          <w:p w14:paraId="44A6C682" w14:textId="67123B42" w:rsidR="00974417" w:rsidRPr="004868C9" w:rsidRDefault="00ED2D52" w:rsidP="00DC17BC">
            <w:pPr>
              <w:rPr>
                <w:rFonts w:ascii="Open Sans" w:hAnsi="Open Sans" w:cs="Open Sans"/>
              </w:rPr>
            </w:pPr>
            <w:r w:rsidRPr="004868C9">
              <w:rPr>
                <w:rFonts w:ascii="Open Sans" w:hAnsi="Open Sans" w:cs="Open Sans"/>
              </w:rPr>
              <w:t>Dr Shirley Bennett</w:t>
            </w:r>
          </w:p>
        </w:tc>
      </w:tr>
    </w:tbl>
    <w:p w14:paraId="009D769B" w14:textId="77777777" w:rsidR="005C2FE0" w:rsidRPr="004868C9" w:rsidRDefault="005C2FE0" w:rsidP="005C2FE0">
      <w:pPr>
        <w:pStyle w:val="HEAHeading2"/>
        <w:rPr>
          <w:rFonts w:ascii="Arial" w:eastAsiaTheme="minorHAnsi" w:hAnsi="Arial" w:cstheme="minorBidi"/>
          <w:noProof/>
          <w:color w:val="000000" w:themeColor="text1"/>
          <w:sz w:val="24"/>
          <w:szCs w:val="24"/>
          <w:lang w:val="en-GB" w:eastAsia="en-GB"/>
        </w:rPr>
      </w:pPr>
    </w:p>
    <w:p w14:paraId="33DBCCC2" w14:textId="77777777" w:rsidR="005C2FE0" w:rsidRPr="004868C9" w:rsidRDefault="005C2FE0" w:rsidP="005C2FE0">
      <w:pPr>
        <w:pStyle w:val="HEAHeading2"/>
        <w:jc w:val="center"/>
        <w:rPr>
          <w:rFonts w:eastAsia="Arial" w:hAnsi="Arial" w:cs="Arial"/>
          <w:color w:val="000000" w:themeColor="text1"/>
          <w:sz w:val="32"/>
        </w:rPr>
      </w:pPr>
      <w:r w:rsidRPr="004868C9">
        <w:rPr>
          <w:color w:val="000000" w:themeColor="text1"/>
          <w:sz w:val="32"/>
        </w:rPr>
        <w:t>This</w:t>
      </w:r>
      <w:r w:rsidRPr="004868C9">
        <w:rPr>
          <w:color w:val="000000" w:themeColor="text1"/>
          <w:spacing w:val="10"/>
          <w:sz w:val="32"/>
        </w:rPr>
        <w:t xml:space="preserve"> </w:t>
      </w:r>
      <w:r w:rsidRPr="004868C9">
        <w:rPr>
          <w:color w:val="000000" w:themeColor="text1"/>
          <w:sz w:val="32"/>
        </w:rPr>
        <w:t>report</w:t>
      </w:r>
      <w:r w:rsidRPr="004868C9">
        <w:rPr>
          <w:color w:val="000000" w:themeColor="text1"/>
          <w:spacing w:val="11"/>
          <w:sz w:val="32"/>
        </w:rPr>
        <w:t xml:space="preserve"> </w:t>
      </w:r>
      <w:r w:rsidRPr="004868C9">
        <w:rPr>
          <w:color w:val="000000" w:themeColor="text1"/>
          <w:sz w:val="32"/>
        </w:rPr>
        <w:t>should</w:t>
      </w:r>
      <w:r w:rsidRPr="004868C9">
        <w:rPr>
          <w:color w:val="000000" w:themeColor="text1"/>
          <w:spacing w:val="10"/>
          <w:sz w:val="32"/>
        </w:rPr>
        <w:t xml:space="preserve"> </w:t>
      </w:r>
      <w:r w:rsidRPr="004868C9">
        <w:rPr>
          <w:color w:val="000000" w:themeColor="text1"/>
          <w:sz w:val="32"/>
        </w:rPr>
        <w:t>be</w:t>
      </w:r>
      <w:r w:rsidRPr="004868C9">
        <w:rPr>
          <w:color w:val="000000" w:themeColor="text1"/>
          <w:spacing w:val="11"/>
          <w:sz w:val="32"/>
        </w:rPr>
        <w:t xml:space="preserve"> </w:t>
      </w:r>
      <w:r w:rsidRPr="004868C9">
        <w:rPr>
          <w:color w:val="000000" w:themeColor="text1"/>
          <w:sz w:val="32"/>
        </w:rPr>
        <w:t>completed</w:t>
      </w:r>
      <w:r w:rsidRPr="004868C9">
        <w:rPr>
          <w:color w:val="000000" w:themeColor="text1"/>
          <w:spacing w:val="10"/>
          <w:sz w:val="32"/>
        </w:rPr>
        <w:t xml:space="preserve"> </w:t>
      </w:r>
      <w:r w:rsidRPr="004868C9">
        <w:rPr>
          <w:color w:val="000000" w:themeColor="text1"/>
          <w:sz w:val="32"/>
        </w:rPr>
        <w:t>using</w:t>
      </w:r>
      <w:r w:rsidRPr="004868C9">
        <w:rPr>
          <w:color w:val="000000" w:themeColor="text1"/>
          <w:spacing w:val="11"/>
          <w:sz w:val="32"/>
        </w:rPr>
        <w:t xml:space="preserve"> </w:t>
      </w:r>
      <w:r w:rsidRPr="004868C9">
        <w:rPr>
          <w:color w:val="000000" w:themeColor="text1"/>
          <w:sz w:val="32"/>
        </w:rPr>
        <w:t>the</w:t>
      </w:r>
      <w:r w:rsidRPr="004868C9">
        <w:rPr>
          <w:color w:val="000000" w:themeColor="text1"/>
          <w:spacing w:val="-4"/>
          <w:sz w:val="32"/>
        </w:rPr>
        <w:t xml:space="preserve"> </w:t>
      </w:r>
      <w:r w:rsidRPr="004868C9">
        <w:rPr>
          <w:color w:val="000000" w:themeColor="text1"/>
          <w:sz w:val="32"/>
        </w:rPr>
        <w:t>Annual</w:t>
      </w:r>
      <w:r w:rsidRPr="004868C9">
        <w:rPr>
          <w:color w:val="000000" w:themeColor="text1"/>
          <w:spacing w:val="10"/>
          <w:sz w:val="32"/>
        </w:rPr>
        <w:t xml:space="preserve"> </w:t>
      </w:r>
      <w:r w:rsidRPr="004868C9">
        <w:rPr>
          <w:color w:val="000000" w:themeColor="text1"/>
          <w:sz w:val="32"/>
        </w:rPr>
        <w:t>Review</w:t>
      </w:r>
      <w:r w:rsidRPr="004868C9">
        <w:rPr>
          <w:color w:val="000000" w:themeColor="text1"/>
          <w:spacing w:val="11"/>
          <w:sz w:val="32"/>
        </w:rPr>
        <w:t xml:space="preserve"> </w:t>
      </w:r>
      <w:r w:rsidRPr="004868C9">
        <w:rPr>
          <w:color w:val="000000" w:themeColor="text1"/>
          <w:sz w:val="32"/>
        </w:rPr>
        <w:t>of</w:t>
      </w:r>
      <w:r w:rsidRPr="004868C9">
        <w:rPr>
          <w:color w:val="000000" w:themeColor="text1"/>
          <w:w w:val="101"/>
          <w:sz w:val="32"/>
        </w:rPr>
        <w:t xml:space="preserve"> </w:t>
      </w:r>
      <w:r w:rsidRPr="004868C9">
        <w:rPr>
          <w:color w:val="000000" w:themeColor="text1"/>
          <w:sz w:val="32"/>
        </w:rPr>
        <w:t>Accredited</w:t>
      </w:r>
      <w:r w:rsidRPr="004868C9">
        <w:rPr>
          <w:color w:val="000000" w:themeColor="text1"/>
          <w:spacing w:val="20"/>
          <w:sz w:val="32"/>
        </w:rPr>
        <w:t xml:space="preserve"> </w:t>
      </w:r>
      <w:r w:rsidRPr="004868C9">
        <w:rPr>
          <w:color w:val="000000" w:themeColor="text1"/>
          <w:sz w:val="32"/>
        </w:rPr>
        <w:t>Continuous</w:t>
      </w:r>
      <w:r w:rsidRPr="004868C9">
        <w:rPr>
          <w:color w:val="000000" w:themeColor="text1"/>
          <w:spacing w:val="20"/>
          <w:sz w:val="32"/>
        </w:rPr>
        <w:t xml:space="preserve"> </w:t>
      </w:r>
      <w:r w:rsidRPr="004868C9">
        <w:rPr>
          <w:color w:val="000000" w:themeColor="text1"/>
          <w:sz w:val="32"/>
        </w:rPr>
        <w:t>Professional</w:t>
      </w:r>
      <w:r w:rsidRPr="004868C9">
        <w:rPr>
          <w:color w:val="000000" w:themeColor="text1"/>
          <w:spacing w:val="20"/>
          <w:sz w:val="32"/>
        </w:rPr>
        <w:t xml:space="preserve"> </w:t>
      </w:r>
      <w:r w:rsidRPr="004868C9">
        <w:rPr>
          <w:color w:val="000000" w:themeColor="text1"/>
          <w:sz w:val="32"/>
        </w:rPr>
        <w:t>Development</w:t>
      </w:r>
      <w:r w:rsidRPr="004868C9">
        <w:rPr>
          <w:color w:val="000000" w:themeColor="text1"/>
          <w:spacing w:val="21"/>
          <w:sz w:val="32"/>
        </w:rPr>
        <w:t xml:space="preserve"> </w:t>
      </w:r>
      <w:r w:rsidRPr="004868C9">
        <w:rPr>
          <w:color w:val="000000" w:themeColor="text1"/>
          <w:sz w:val="32"/>
        </w:rPr>
        <w:t>(CPD)</w:t>
      </w:r>
      <w:r w:rsidRPr="004868C9">
        <w:rPr>
          <w:color w:val="000000" w:themeColor="text1"/>
          <w:spacing w:val="20"/>
          <w:sz w:val="32"/>
        </w:rPr>
        <w:t xml:space="preserve"> </w:t>
      </w:r>
      <w:r w:rsidRPr="004868C9">
        <w:rPr>
          <w:color w:val="000000" w:themeColor="text1"/>
          <w:sz w:val="32"/>
        </w:rPr>
        <w:t>Schemes</w:t>
      </w:r>
      <w:r w:rsidRPr="004868C9">
        <w:rPr>
          <w:color w:val="000000" w:themeColor="text1"/>
          <w:w w:val="101"/>
          <w:sz w:val="32"/>
        </w:rPr>
        <w:t xml:space="preserve"> </w:t>
      </w:r>
      <w:r w:rsidRPr="004868C9">
        <w:rPr>
          <w:color w:val="000000" w:themeColor="text1"/>
          <w:sz w:val="32"/>
        </w:rPr>
        <w:t>(20</w:t>
      </w:r>
      <w:r w:rsidR="008F0689" w:rsidRPr="004868C9">
        <w:rPr>
          <w:color w:val="000000" w:themeColor="text1"/>
          <w:sz w:val="32"/>
        </w:rPr>
        <w:t>21</w:t>
      </w:r>
      <w:r w:rsidRPr="004868C9">
        <w:rPr>
          <w:color w:val="000000" w:themeColor="text1"/>
          <w:spacing w:val="11"/>
          <w:sz w:val="32"/>
        </w:rPr>
        <w:t xml:space="preserve"> </w:t>
      </w:r>
      <w:r w:rsidRPr="004868C9">
        <w:rPr>
          <w:color w:val="000000" w:themeColor="text1"/>
          <w:sz w:val="32"/>
        </w:rPr>
        <w:t>-</w:t>
      </w:r>
      <w:r w:rsidRPr="004868C9">
        <w:rPr>
          <w:color w:val="000000" w:themeColor="text1"/>
          <w:spacing w:val="12"/>
          <w:sz w:val="32"/>
        </w:rPr>
        <w:t xml:space="preserve"> </w:t>
      </w:r>
      <w:r w:rsidR="008F0689" w:rsidRPr="004868C9">
        <w:rPr>
          <w:color w:val="000000" w:themeColor="text1"/>
          <w:sz w:val="32"/>
        </w:rPr>
        <w:t>2022</w:t>
      </w:r>
      <w:r w:rsidRPr="004868C9">
        <w:rPr>
          <w:color w:val="000000" w:themeColor="text1"/>
          <w:sz w:val="32"/>
        </w:rPr>
        <w:t>) Guidance for</w:t>
      </w:r>
      <w:r w:rsidRPr="004868C9">
        <w:rPr>
          <w:color w:val="000000" w:themeColor="text1"/>
          <w:spacing w:val="11"/>
          <w:sz w:val="32"/>
        </w:rPr>
        <w:t xml:space="preserve"> </w:t>
      </w:r>
      <w:r w:rsidRPr="004868C9">
        <w:rPr>
          <w:color w:val="000000" w:themeColor="text1"/>
          <w:sz w:val="32"/>
        </w:rPr>
        <w:t>explanations</w:t>
      </w:r>
      <w:r w:rsidRPr="004868C9">
        <w:rPr>
          <w:color w:val="000000" w:themeColor="text1"/>
          <w:spacing w:val="12"/>
          <w:sz w:val="32"/>
        </w:rPr>
        <w:t xml:space="preserve"> </w:t>
      </w:r>
      <w:r w:rsidRPr="004868C9">
        <w:rPr>
          <w:color w:val="000000" w:themeColor="text1"/>
          <w:sz w:val="32"/>
        </w:rPr>
        <w:t>and</w:t>
      </w:r>
      <w:r w:rsidRPr="004868C9">
        <w:rPr>
          <w:color w:val="000000" w:themeColor="text1"/>
          <w:spacing w:val="11"/>
          <w:sz w:val="32"/>
        </w:rPr>
        <w:t xml:space="preserve"> </w:t>
      </w:r>
      <w:r w:rsidRPr="004868C9">
        <w:rPr>
          <w:color w:val="000000" w:themeColor="text1"/>
          <w:sz w:val="32"/>
        </w:rPr>
        <w:t>examples</w:t>
      </w:r>
    </w:p>
    <w:p w14:paraId="124B0E04" w14:textId="77777777" w:rsidR="00D57DA7" w:rsidRPr="004868C9" w:rsidRDefault="00D57DA7">
      <w:pPr>
        <w:spacing w:after="160" w:line="259" w:lineRule="auto"/>
        <w:rPr>
          <w:rFonts w:cs="Arial"/>
          <w:sz w:val="52"/>
        </w:rPr>
      </w:pPr>
    </w:p>
    <w:p w14:paraId="64655EC5" w14:textId="77777777" w:rsidR="00D57DA7" w:rsidRPr="004868C9" w:rsidRDefault="00D57DA7">
      <w:pPr>
        <w:spacing w:after="160" w:line="259" w:lineRule="auto"/>
        <w:rPr>
          <w:rFonts w:cs="Arial"/>
          <w:sz w:val="52"/>
        </w:rPr>
        <w:sectPr w:rsidR="00D57DA7" w:rsidRPr="004868C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1FF18D50" w14:textId="77777777" w:rsidR="000B127C" w:rsidRPr="004868C9" w:rsidRDefault="007A32C8" w:rsidP="000B127C">
      <w:pPr>
        <w:keepNext/>
        <w:keepLines/>
        <w:spacing w:before="40" w:after="220"/>
        <w:outlineLvl w:val="1"/>
        <w:rPr>
          <w:rFonts w:eastAsiaTheme="majorEastAsia" w:cs="Arial"/>
          <w:b/>
          <w:sz w:val="28"/>
          <w:szCs w:val="28"/>
          <w:lang w:val="en-US"/>
        </w:rPr>
      </w:pPr>
      <w:r w:rsidRPr="004868C9">
        <w:rPr>
          <w:rFonts w:eastAsiaTheme="majorEastAsia" w:cs="Arial"/>
          <w:b/>
          <w:sz w:val="28"/>
          <w:szCs w:val="28"/>
          <w:lang w:val="en-US"/>
        </w:rPr>
        <w:lastRenderedPageBreak/>
        <w:t>Section 1</w:t>
      </w:r>
      <w:r w:rsidR="000B127C" w:rsidRPr="004868C9">
        <w:rPr>
          <w:rFonts w:eastAsiaTheme="majorEastAsia" w:cs="Arial"/>
          <w:b/>
          <w:sz w:val="28"/>
          <w:szCs w:val="28"/>
          <w:lang w:val="en-US"/>
        </w:rPr>
        <w:t xml:space="preserve"> Analysis of institutional data</w:t>
      </w:r>
    </w:p>
    <w:p w14:paraId="10C6FADA" w14:textId="77777777" w:rsidR="000B127C" w:rsidRPr="004868C9" w:rsidRDefault="007A32C8" w:rsidP="005C2FE0">
      <w:pPr>
        <w:keepNext/>
        <w:keepLines/>
        <w:spacing w:before="200" w:after="220"/>
        <w:outlineLvl w:val="2"/>
        <w:rPr>
          <w:rFonts w:eastAsiaTheme="majorEastAsia" w:cs="Arial"/>
          <w:b/>
          <w:bCs/>
          <w:sz w:val="26"/>
          <w:szCs w:val="26"/>
          <w:lang w:val="en-US"/>
        </w:rPr>
      </w:pPr>
      <w:r w:rsidRPr="004868C9">
        <w:rPr>
          <w:rFonts w:eastAsiaTheme="majorEastAsia" w:cs="Arial"/>
          <w:b/>
          <w:bCs/>
          <w:sz w:val="26"/>
          <w:szCs w:val="26"/>
          <w:lang w:val="en-US"/>
        </w:rPr>
        <w:t>Section 1</w:t>
      </w:r>
      <w:r w:rsidR="000B127C" w:rsidRPr="004868C9">
        <w:rPr>
          <w:rFonts w:eastAsiaTheme="majorEastAsia" w:cs="Arial"/>
          <w:b/>
          <w:bCs/>
          <w:sz w:val="26"/>
          <w:szCs w:val="26"/>
          <w:lang w:val="en-US"/>
        </w:rPr>
        <w:t xml:space="preserve"> Part a: Brief analysis of the data presented in Figures 1 and 2</w:t>
      </w:r>
    </w:p>
    <w:tbl>
      <w:tblPr>
        <w:tblStyle w:val="LightList-Accent11"/>
        <w:tblpPr w:leftFromText="180" w:rightFromText="180" w:vertAnchor="text" w:horzAnchor="margin" w:tblpX="-431" w:tblpY="-47"/>
        <w:tblW w:w="10065" w:type="dxa"/>
        <w:tblLayout w:type="fixed"/>
        <w:tblLook w:val="04A0" w:firstRow="1" w:lastRow="0" w:firstColumn="1" w:lastColumn="0" w:noHBand="0" w:noVBand="1"/>
      </w:tblPr>
      <w:tblGrid>
        <w:gridCol w:w="10065"/>
      </w:tblGrid>
      <w:tr w:rsidR="004868C9" w:rsidRPr="004868C9" w14:paraId="4DEC58F8" w14:textId="77777777" w:rsidTr="004868C9">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3C9226EE" w14:textId="77777777" w:rsidR="005C2FE0" w:rsidRPr="004868C9" w:rsidRDefault="005C2FE0" w:rsidP="00D57DA7">
            <w:pPr>
              <w:spacing w:beforeLines="20" w:before="48" w:afterLines="20" w:after="48" w:line="259" w:lineRule="auto"/>
              <w:rPr>
                <w:rFonts w:eastAsia="Times New Roman" w:cs="Arial"/>
              </w:rPr>
            </w:pPr>
            <w:r w:rsidRPr="004868C9">
              <w:rPr>
                <w:rFonts w:eastAsia="Times New Roman" w:cs="Arial"/>
              </w:rPr>
              <w:t xml:space="preserve">Figure 1: Fellowship awarded by category through the Advance HE accredited </w:t>
            </w:r>
            <w:r w:rsidR="008F0689" w:rsidRPr="004868C9">
              <w:rPr>
                <w:rFonts w:eastAsia="Times New Roman" w:cs="Arial"/>
              </w:rPr>
              <w:t>CPD scheme between 1 August 2020 – 31 July 2021 and 1 August 2021– 31 July 2022</w:t>
            </w:r>
          </w:p>
        </w:tc>
      </w:tr>
    </w:tbl>
    <w:p w14:paraId="7F1DFA22" w14:textId="77777777" w:rsidR="008F0689" w:rsidRPr="004868C9" w:rsidRDefault="00DC4656" w:rsidP="00236D0D">
      <w:pPr>
        <w:ind w:left="-426"/>
        <w:rPr>
          <w:rFonts w:eastAsia="Cambria" w:cs="Arial"/>
          <w:sz w:val="22"/>
          <w:szCs w:val="20"/>
        </w:rPr>
      </w:pPr>
      <w:r w:rsidRPr="004868C9">
        <w:rPr>
          <w:noProof/>
          <w:lang w:eastAsia="en-GB"/>
        </w:rPr>
        <w:drawing>
          <wp:inline distT="0" distB="0" distL="0" distR="0" wp14:anchorId="56A3AA44" wp14:editId="5FC7D887">
            <wp:extent cx="6324134" cy="4038600"/>
            <wp:effectExtent l="19050" t="19050" r="19685" b="19050"/>
            <wp:docPr id="2" name="slide2" descr="Fellowships awarded via">
              <a:extLst xmlns:a="http://schemas.openxmlformats.org/drawingml/2006/main">
                <a:ext uri="{FF2B5EF4-FFF2-40B4-BE49-F238E27FC236}">
                  <a16:creationId xmlns:a16="http://schemas.microsoft.com/office/drawing/2014/main" id="{13D8FCAC-99B2-46C2-AA94-69E78EC375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 descr="Fellowships awarded via">
                      <a:extLst>
                        <a:ext uri="{FF2B5EF4-FFF2-40B4-BE49-F238E27FC236}">
                          <a16:creationId xmlns:a16="http://schemas.microsoft.com/office/drawing/2014/main" id="{13D8FCAC-99B2-46C2-AA94-69E78EC37557}"/>
                        </a:ext>
                      </a:extLst>
                    </pic:cNvPr>
                    <pic:cNvPicPr>
                      <a:picLocks noChangeAspect="1"/>
                    </pic:cNvPicPr>
                  </pic:nvPicPr>
                  <pic:blipFill rotWithShape="1">
                    <a:blip r:embed="rId18">
                      <a:extLst>
                        <a:ext uri="{28A0092B-C50C-407E-A947-70E740481C1C}">
                          <a14:useLocalDpi xmlns:a14="http://schemas.microsoft.com/office/drawing/2010/main" val="0"/>
                        </a:ext>
                      </a:extLst>
                    </a:blip>
                    <a:srcRect b="14859"/>
                    <a:stretch/>
                  </pic:blipFill>
                  <pic:spPr bwMode="auto">
                    <a:xfrm>
                      <a:off x="0" y="0"/>
                      <a:ext cx="6332947" cy="4044228"/>
                    </a:xfrm>
                    <a:prstGeom prst="rect">
                      <a:avLst/>
                    </a:prstGeom>
                    <a:ln w="9525" cap="flat" cmpd="sng" algn="ctr">
                      <a:solidFill>
                        <a:srgbClr val="02A4A6"/>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C11D49A" w14:textId="77777777" w:rsidR="00DC4656" w:rsidRPr="004868C9" w:rsidRDefault="00DC4656" w:rsidP="00236D0D">
      <w:pPr>
        <w:ind w:left="-426"/>
        <w:rPr>
          <w:rFonts w:eastAsia="Cambria" w:cs="Arial"/>
          <w:sz w:val="22"/>
          <w:szCs w:val="20"/>
        </w:rPr>
      </w:pPr>
    </w:p>
    <w:p w14:paraId="1315E14E" w14:textId="77777777" w:rsidR="00DC4656" w:rsidRPr="004868C9" w:rsidRDefault="00DC4656" w:rsidP="00236D0D">
      <w:pPr>
        <w:ind w:left="-426"/>
        <w:rPr>
          <w:rFonts w:eastAsia="Cambria" w:cs="Arial"/>
          <w:sz w:val="22"/>
          <w:szCs w:val="20"/>
        </w:rPr>
      </w:pPr>
    </w:p>
    <w:p w14:paraId="49711A25" w14:textId="77777777" w:rsidR="00DC4656" w:rsidRPr="004868C9" w:rsidRDefault="00DC4656" w:rsidP="00236D0D">
      <w:pPr>
        <w:ind w:left="-426"/>
        <w:rPr>
          <w:rFonts w:eastAsia="Cambria" w:cs="Arial"/>
          <w:sz w:val="22"/>
          <w:szCs w:val="20"/>
        </w:rPr>
      </w:pPr>
    </w:p>
    <w:p w14:paraId="1304C8BF" w14:textId="77777777" w:rsidR="00DC4656" w:rsidRPr="004868C9" w:rsidRDefault="00DC4656" w:rsidP="00236D0D">
      <w:pPr>
        <w:ind w:left="-426"/>
        <w:rPr>
          <w:rFonts w:eastAsia="Cambria" w:cs="Arial"/>
          <w:sz w:val="22"/>
          <w:szCs w:val="20"/>
        </w:rPr>
      </w:pPr>
    </w:p>
    <w:p w14:paraId="39960FEB" w14:textId="77902B3F" w:rsidR="00DC4656" w:rsidRPr="004868C9" w:rsidRDefault="004868C9" w:rsidP="00236D0D">
      <w:pPr>
        <w:ind w:left="-426"/>
        <w:rPr>
          <w:rFonts w:eastAsia="Cambria" w:cs="Arial"/>
          <w:sz w:val="22"/>
          <w:szCs w:val="20"/>
        </w:rPr>
      </w:pPr>
      <w:r w:rsidRPr="004868C9">
        <w:rPr>
          <w:rFonts w:eastAsia="Times New Roman" w:cs="Arial"/>
        </w:rPr>
        <w:t>Figure 2: Fellowship awarded by category through all accredited taught provision between 1 August 2020 – 31 July 2021 and 1 August 2021– 31 July 2022</w:t>
      </w:r>
    </w:p>
    <w:p w14:paraId="4CED7D9E" w14:textId="77777777" w:rsidR="00236D0D" w:rsidRPr="004868C9" w:rsidRDefault="00236D0D" w:rsidP="00236D0D">
      <w:pPr>
        <w:rPr>
          <w:rFonts w:eastAsia="Cambria" w:cs="Arial"/>
          <w:sz w:val="22"/>
          <w:szCs w:val="20"/>
        </w:rPr>
      </w:pPr>
    </w:p>
    <w:tbl>
      <w:tblPr>
        <w:tblStyle w:val="LightList-Accent11"/>
        <w:tblW w:w="9922" w:type="dxa"/>
        <w:jc w:val="center"/>
        <w:tblLook w:val="04A0" w:firstRow="1" w:lastRow="0" w:firstColumn="1" w:lastColumn="0" w:noHBand="0" w:noVBand="1"/>
      </w:tblPr>
      <w:tblGrid>
        <w:gridCol w:w="3260"/>
        <w:gridCol w:w="3402"/>
        <w:gridCol w:w="3260"/>
      </w:tblGrid>
      <w:tr w:rsidR="004868C9" w:rsidRPr="004868C9" w14:paraId="135CC3EE" w14:textId="77777777" w:rsidTr="004868C9">
        <w:trPr>
          <w:cnfStyle w:val="100000000000" w:firstRow="1" w:lastRow="0" w:firstColumn="0" w:lastColumn="0" w:oddVBand="0" w:evenVBand="0" w:oddHBand="0"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3260" w:type="dxa"/>
            <w:shd w:val="clear" w:color="auto" w:fill="FFFFFF" w:themeFill="background1"/>
            <w:vAlign w:val="center"/>
          </w:tcPr>
          <w:p w14:paraId="44616ED0" w14:textId="77777777" w:rsidR="00236D0D" w:rsidRPr="004868C9" w:rsidRDefault="00236D0D" w:rsidP="009642CB">
            <w:pPr>
              <w:spacing w:before="240" w:after="240"/>
              <w:ind w:left="142"/>
              <w:rPr>
                <w:rFonts w:cs="Arial"/>
                <w:bCs w:val="0"/>
              </w:rPr>
            </w:pPr>
          </w:p>
        </w:tc>
        <w:tc>
          <w:tcPr>
            <w:tcW w:w="3402" w:type="dxa"/>
            <w:shd w:val="clear" w:color="auto" w:fill="FFFFFF" w:themeFill="background1"/>
            <w:vAlign w:val="center"/>
          </w:tcPr>
          <w:p w14:paraId="68E4F04F" w14:textId="77777777" w:rsidR="00236D0D" w:rsidRPr="004868C9" w:rsidRDefault="00236D0D" w:rsidP="009642CB">
            <w:pPr>
              <w:spacing w:beforeLines="20" w:before="48" w:afterLines="20" w:after="48"/>
              <w:ind w:left="142"/>
              <w:jc w:val="center"/>
              <w:cnfStyle w:val="100000000000" w:firstRow="1" w:lastRow="0" w:firstColumn="0" w:lastColumn="0" w:oddVBand="0" w:evenVBand="0" w:oddHBand="0" w:evenHBand="0" w:firstRowFirstColumn="0" w:firstRowLastColumn="0" w:lastRowFirstColumn="0" w:lastRowLastColumn="0"/>
              <w:rPr>
                <w:rFonts w:cs="Arial"/>
                <w:bCs w:val="0"/>
              </w:rPr>
            </w:pPr>
            <w:r w:rsidRPr="004868C9">
              <w:rPr>
                <w:rFonts w:cs="Arial"/>
                <w:spacing w:val="-7"/>
                <w:w w:val="105"/>
              </w:rPr>
              <w:t>Descriptor 1</w:t>
            </w:r>
          </w:p>
        </w:tc>
        <w:tc>
          <w:tcPr>
            <w:tcW w:w="3260" w:type="dxa"/>
            <w:shd w:val="clear" w:color="auto" w:fill="FFFFFF" w:themeFill="background1"/>
            <w:vAlign w:val="center"/>
          </w:tcPr>
          <w:p w14:paraId="31E4033B" w14:textId="77777777" w:rsidR="00236D0D" w:rsidRPr="004868C9" w:rsidRDefault="00236D0D" w:rsidP="009642CB">
            <w:pPr>
              <w:spacing w:before="240" w:after="240"/>
              <w:ind w:left="142"/>
              <w:jc w:val="center"/>
              <w:cnfStyle w:val="100000000000" w:firstRow="1" w:lastRow="0" w:firstColumn="0" w:lastColumn="0" w:oddVBand="0" w:evenVBand="0" w:oddHBand="0" w:evenHBand="0" w:firstRowFirstColumn="0" w:firstRowLastColumn="0" w:lastRowFirstColumn="0" w:lastRowLastColumn="0"/>
              <w:rPr>
                <w:rFonts w:cs="Arial"/>
              </w:rPr>
            </w:pPr>
            <w:r w:rsidRPr="004868C9">
              <w:rPr>
                <w:rFonts w:cs="Arial"/>
                <w:w w:val="105"/>
              </w:rPr>
              <w:t>Descriptor 2</w:t>
            </w:r>
          </w:p>
        </w:tc>
      </w:tr>
      <w:tr w:rsidR="004868C9" w:rsidRPr="004868C9" w14:paraId="7EF72E71" w14:textId="77777777" w:rsidTr="004868C9">
        <w:trPr>
          <w:trHeight w:val="687"/>
          <w:jc w:val="center"/>
        </w:trPr>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000000" w:themeColor="text1"/>
            </w:tcBorders>
            <w:shd w:val="clear" w:color="auto" w:fill="FFFFFF" w:themeFill="background1"/>
            <w:vAlign w:val="center"/>
          </w:tcPr>
          <w:p w14:paraId="68D53E9A" w14:textId="77777777" w:rsidR="00236D0D" w:rsidRPr="004868C9" w:rsidRDefault="00236D0D" w:rsidP="00236D0D">
            <w:pPr>
              <w:spacing w:before="48" w:after="48"/>
              <w:ind w:left="142"/>
              <w:rPr>
                <w:rFonts w:cs="Arial"/>
                <w:bCs w:val="0"/>
              </w:rPr>
            </w:pPr>
            <w:r w:rsidRPr="004868C9">
              <w:rPr>
                <w:rFonts w:eastAsia="Times New Roman" w:cs="Arial"/>
                <w:noProof/>
                <w:lang w:eastAsia="en-GB"/>
              </w:rPr>
              <w:t>1 August 2020 – 31 July 2021</w:t>
            </w:r>
          </w:p>
        </w:tc>
        <w:tc>
          <w:tcPr>
            <w:tcW w:w="3402" w:type="dxa"/>
            <w:tcBorders>
              <w:top w:val="single" w:sz="4" w:space="0" w:color="000000" w:themeColor="text1"/>
            </w:tcBorders>
            <w:vAlign w:val="center"/>
          </w:tcPr>
          <w:p w14:paraId="57CF7C2D" w14:textId="77777777" w:rsidR="00236D0D" w:rsidRPr="004868C9" w:rsidRDefault="00DC4656" w:rsidP="009642CB">
            <w:pPr>
              <w:spacing w:beforeLines="20" w:before="48" w:afterLines="20"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Cs/>
                <w:sz w:val="22"/>
                <w:szCs w:val="22"/>
              </w:rPr>
            </w:pPr>
            <w:r w:rsidRPr="004868C9">
              <w:rPr>
                <w:rFonts w:ascii="Open Sans" w:hAnsi="Open Sans" w:cs="Open Sans"/>
                <w:bCs/>
                <w:sz w:val="22"/>
                <w:szCs w:val="22"/>
              </w:rPr>
              <w:t>0</w:t>
            </w:r>
          </w:p>
        </w:tc>
        <w:tc>
          <w:tcPr>
            <w:tcW w:w="3260" w:type="dxa"/>
            <w:tcBorders>
              <w:top w:val="single" w:sz="4" w:space="0" w:color="000000" w:themeColor="text1"/>
            </w:tcBorders>
            <w:vAlign w:val="center"/>
          </w:tcPr>
          <w:p w14:paraId="4DDBA935" w14:textId="77777777" w:rsidR="00236D0D" w:rsidRPr="004868C9" w:rsidRDefault="00DC4656" w:rsidP="009642CB">
            <w:pPr>
              <w:spacing w:before="48"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sidRPr="004868C9">
              <w:rPr>
                <w:rFonts w:ascii="Open Sans" w:hAnsi="Open Sans" w:cs="Open Sans"/>
                <w:sz w:val="22"/>
                <w:szCs w:val="22"/>
              </w:rPr>
              <w:t>0</w:t>
            </w:r>
          </w:p>
        </w:tc>
      </w:tr>
      <w:tr w:rsidR="004868C9" w:rsidRPr="004868C9" w14:paraId="79AC980B" w14:textId="77777777" w:rsidTr="004868C9">
        <w:trPr>
          <w:trHeight w:val="687"/>
          <w:jc w:val="center"/>
        </w:trPr>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000000" w:themeColor="text1"/>
            </w:tcBorders>
            <w:shd w:val="clear" w:color="auto" w:fill="FFFFFF" w:themeFill="background1"/>
            <w:vAlign w:val="center"/>
          </w:tcPr>
          <w:p w14:paraId="6BBD9D3C" w14:textId="77777777" w:rsidR="00236D0D" w:rsidRPr="004868C9" w:rsidRDefault="00236D0D" w:rsidP="009642CB">
            <w:pPr>
              <w:spacing w:before="48" w:after="48"/>
              <w:ind w:left="142"/>
              <w:rPr>
                <w:rFonts w:cs="Arial"/>
                <w:bCs w:val="0"/>
              </w:rPr>
            </w:pPr>
            <w:r w:rsidRPr="004868C9">
              <w:rPr>
                <w:rFonts w:eastAsia="Times New Roman" w:cs="Arial"/>
                <w:noProof/>
                <w:lang w:eastAsia="en-GB"/>
              </w:rPr>
              <w:t>1 August 2021 – 31 July 2022</w:t>
            </w:r>
          </w:p>
        </w:tc>
        <w:tc>
          <w:tcPr>
            <w:tcW w:w="3402" w:type="dxa"/>
            <w:tcBorders>
              <w:top w:val="single" w:sz="4" w:space="0" w:color="000000" w:themeColor="text1"/>
            </w:tcBorders>
            <w:vAlign w:val="center"/>
          </w:tcPr>
          <w:p w14:paraId="6445EE1F" w14:textId="77777777" w:rsidR="00236D0D" w:rsidRPr="004868C9" w:rsidRDefault="00DC4656" w:rsidP="009642CB">
            <w:pPr>
              <w:spacing w:beforeLines="20" w:before="48" w:afterLines="20"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Cs/>
                <w:sz w:val="22"/>
                <w:szCs w:val="22"/>
              </w:rPr>
            </w:pPr>
            <w:r w:rsidRPr="004868C9">
              <w:rPr>
                <w:rFonts w:ascii="Open Sans" w:hAnsi="Open Sans" w:cs="Open Sans"/>
                <w:bCs/>
                <w:sz w:val="22"/>
                <w:szCs w:val="22"/>
              </w:rPr>
              <w:t>1</w:t>
            </w:r>
          </w:p>
        </w:tc>
        <w:tc>
          <w:tcPr>
            <w:tcW w:w="3260" w:type="dxa"/>
            <w:tcBorders>
              <w:top w:val="single" w:sz="4" w:space="0" w:color="000000" w:themeColor="text1"/>
            </w:tcBorders>
            <w:vAlign w:val="center"/>
          </w:tcPr>
          <w:p w14:paraId="69CD07AE" w14:textId="77777777" w:rsidR="00236D0D" w:rsidRPr="004868C9" w:rsidRDefault="00DC4656" w:rsidP="009642CB">
            <w:pPr>
              <w:spacing w:before="48"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sidRPr="004868C9">
              <w:rPr>
                <w:rFonts w:ascii="Open Sans" w:hAnsi="Open Sans" w:cs="Open Sans"/>
                <w:sz w:val="22"/>
                <w:szCs w:val="22"/>
              </w:rPr>
              <w:t>0</w:t>
            </w:r>
          </w:p>
        </w:tc>
      </w:tr>
    </w:tbl>
    <w:p w14:paraId="6D51C52B" w14:textId="77777777" w:rsidR="00236D0D" w:rsidRPr="004868C9" w:rsidRDefault="00236D0D" w:rsidP="000B127C">
      <w:pPr>
        <w:rPr>
          <w:rFonts w:eastAsia="Cambria" w:cs="Arial"/>
          <w:sz w:val="22"/>
          <w:szCs w:val="20"/>
        </w:rPr>
      </w:pPr>
    </w:p>
    <w:p w14:paraId="75060777" w14:textId="77777777" w:rsidR="00236D0D" w:rsidRPr="004868C9" w:rsidRDefault="00236D0D" w:rsidP="000B127C">
      <w:pPr>
        <w:rPr>
          <w:rFonts w:eastAsia="Cambria" w:cs="Arial"/>
          <w:sz w:val="22"/>
          <w:szCs w:val="20"/>
        </w:rPr>
      </w:pPr>
    </w:p>
    <w:p w14:paraId="03596263" w14:textId="77777777" w:rsidR="000B127C" w:rsidRPr="004868C9" w:rsidRDefault="000B127C" w:rsidP="000B127C">
      <w:pPr>
        <w:rPr>
          <w:rFonts w:eastAsia="Cambria" w:cs="Arial"/>
          <w:sz w:val="22"/>
          <w:szCs w:val="20"/>
        </w:rPr>
      </w:pPr>
      <w:r w:rsidRPr="004868C9">
        <w:rPr>
          <w:rFonts w:eastAsia="Cambria" w:cs="Arial"/>
          <w:sz w:val="22"/>
          <w:szCs w:val="20"/>
        </w:rPr>
        <w:t>at &lt;institution&gt; with Fellowship by year</w:t>
      </w:r>
    </w:p>
    <w:tbl>
      <w:tblPr>
        <w:tblStyle w:val="LightList-Accent11"/>
        <w:tblW w:w="9498" w:type="dxa"/>
        <w:tblInd w:w="-289" w:type="dxa"/>
        <w:tblLayout w:type="fixed"/>
        <w:tblLook w:val="04A0" w:firstRow="1" w:lastRow="0" w:firstColumn="1" w:lastColumn="0" w:noHBand="0" w:noVBand="1"/>
      </w:tblPr>
      <w:tblGrid>
        <w:gridCol w:w="9498"/>
      </w:tblGrid>
      <w:tr w:rsidR="004868C9" w:rsidRPr="004868C9" w14:paraId="442DD80E" w14:textId="77777777" w:rsidTr="004868C9">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9498" w:type="dxa"/>
            <w:shd w:val="clear" w:color="auto" w:fill="FFFFFF" w:themeFill="background1"/>
            <w:vAlign w:val="center"/>
            <w:hideMark/>
          </w:tcPr>
          <w:p w14:paraId="172010B6" w14:textId="77777777" w:rsidR="000B127C" w:rsidRPr="004868C9" w:rsidRDefault="000B127C" w:rsidP="00311490">
            <w:pPr>
              <w:spacing w:before="240" w:after="240"/>
              <w:ind w:left="1314" w:hanging="1314"/>
              <w:rPr>
                <w:rFonts w:eastAsia="Times New Roman" w:cs="Arial"/>
                <w:b/>
              </w:rPr>
            </w:pPr>
            <w:r w:rsidRPr="004868C9">
              <w:rPr>
                <w:rFonts w:eastAsia="Times New Roman" w:cs="Arial"/>
              </w:rPr>
              <w:t>Figure</w:t>
            </w:r>
            <w:r w:rsidR="00236D0D" w:rsidRPr="004868C9">
              <w:rPr>
                <w:rFonts w:eastAsia="Cambria" w:cs="Arial"/>
              </w:rPr>
              <w:t xml:space="preserve"> 3</w:t>
            </w:r>
            <w:r w:rsidRPr="004868C9">
              <w:rPr>
                <w:rFonts w:eastAsia="Cambria" w:cs="Arial"/>
              </w:rPr>
              <w:t>: Percentage of academic staff at with Fellowship by year</w:t>
            </w:r>
          </w:p>
        </w:tc>
      </w:tr>
    </w:tbl>
    <w:p w14:paraId="2DC664EF" w14:textId="77777777" w:rsidR="00D02F05" w:rsidRPr="004868C9" w:rsidRDefault="00DC4656" w:rsidP="00874E06">
      <w:pPr>
        <w:ind w:left="-284"/>
        <w:rPr>
          <w:rFonts w:eastAsia="Chalet-LondonNineteenSixty" w:cs="Times New Roman"/>
          <w:noProof/>
          <w:spacing w:val="-2"/>
          <w:szCs w:val="22"/>
          <w:lang w:eastAsia="en-GB"/>
        </w:rPr>
      </w:pPr>
      <w:r w:rsidRPr="004868C9">
        <w:rPr>
          <w:noProof/>
          <w:lang w:eastAsia="en-GB"/>
        </w:rPr>
        <w:lastRenderedPageBreak/>
        <w:drawing>
          <wp:inline distT="0" distB="0" distL="0" distR="0" wp14:anchorId="10CAAD7B" wp14:editId="4A6DF384">
            <wp:extent cx="5991225" cy="3637482"/>
            <wp:effectExtent l="19050" t="19050" r="9525" b="20320"/>
            <wp:docPr id="3" name="slide3" descr="% of Academic Staff">
              <a:extLst xmlns:a="http://schemas.openxmlformats.org/drawingml/2006/main">
                <a:ext uri="{FF2B5EF4-FFF2-40B4-BE49-F238E27FC236}">
                  <a16:creationId xmlns:a16="http://schemas.microsoft.com/office/drawing/2014/main" id="{0EE28019-7E27-4293-8DF4-98E9071F6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3" descr="% of Academic Staff">
                      <a:extLst>
                        <a:ext uri="{FF2B5EF4-FFF2-40B4-BE49-F238E27FC236}">
                          <a16:creationId xmlns:a16="http://schemas.microsoft.com/office/drawing/2014/main" id="{0EE28019-7E27-4293-8DF4-98E9071F6AD1}"/>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996349" cy="3640593"/>
                    </a:xfrm>
                    <a:prstGeom prst="rect">
                      <a:avLst/>
                    </a:prstGeom>
                    <a:ln>
                      <a:solidFill>
                        <a:srgbClr val="02A4A6"/>
                      </a:solidFill>
                    </a:ln>
                  </pic:spPr>
                </pic:pic>
              </a:graphicData>
            </a:graphic>
          </wp:inline>
        </w:drawing>
      </w:r>
    </w:p>
    <w:tbl>
      <w:tblPr>
        <w:tblStyle w:val="LightList-Accent11"/>
        <w:tblW w:w="9498" w:type="dxa"/>
        <w:tblInd w:w="-289" w:type="dxa"/>
        <w:tblLayout w:type="fixed"/>
        <w:tblLook w:val="04A0" w:firstRow="1" w:lastRow="0" w:firstColumn="1" w:lastColumn="0" w:noHBand="0" w:noVBand="1"/>
      </w:tblPr>
      <w:tblGrid>
        <w:gridCol w:w="9498"/>
      </w:tblGrid>
      <w:tr w:rsidR="004868C9" w:rsidRPr="004868C9" w14:paraId="356162B4" w14:textId="77777777" w:rsidTr="004868C9">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498" w:type="dxa"/>
            <w:shd w:val="clear" w:color="auto" w:fill="FFFFFF" w:themeFill="background1"/>
            <w:vAlign w:val="center"/>
          </w:tcPr>
          <w:p w14:paraId="2F1AE21E" w14:textId="77777777" w:rsidR="000B127C" w:rsidRPr="004868C9" w:rsidRDefault="00D02F05" w:rsidP="00236D0D">
            <w:pPr>
              <w:spacing w:before="240" w:after="240"/>
              <w:ind w:left="142"/>
              <w:rPr>
                <w:rFonts w:cs="Arial"/>
              </w:rPr>
            </w:pPr>
            <w:r w:rsidRPr="004868C9">
              <w:rPr>
                <w:rFonts w:eastAsia="Chalet-LondonNineteenSixty" w:cs="Times New Roman"/>
                <w:noProof/>
                <w:spacing w:val="-2"/>
                <w:szCs w:val="22"/>
                <w:lang w:eastAsia="en-GB"/>
              </w:rPr>
              <w:br w:type="page"/>
            </w:r>
            <w:r w:rsidR="000B127C" w:rsidRPr="004868C9">
              <w:rPr>
                <w:rFonts w:cs="Arial"/>
                <w:shd w:val="clear" w:color="auto" w:fill="FFFFFF" w:themeFill="background1"/>
              </w:rPr>
              <w:t>Drawing</w:t>
            </w:r>
            <w:r w:rsidR="000B127C" w:rsidRPr="004868C9">
              <w:rPr>
                <w:rFonts w:cs="Arial"/>
                <w:spacing w:val="16"/>
                <w:shd w:val="clear" w:color="auto" w:fill="FFFFFF" w:themeFill="background1"/>
              </w:rPr>
              <w:t xml:space="preserve"> </w:t>
            </w:r>
            <w:r w:rsidR="000B127C" w:rsidRPr="004868C9">
              <w:rPr>
                <w:rFonts w:cs="Arial"/>
                <w:shd w:val="clear" w:color="auto" w:fill="FFFFFF" w:themeFill="background1"/>
              </w:rPr>
              <w:t>on</w:t>
            </w:r>
            <w:r w:rsidR="000B127C" w:rsidRPr="004868C9">
              <w:rPr>
                <w:rFonts w:cs="Arial"/>
                <w:spacing w:val="2"/>
                <w:shd w:val="clear" w:color="auto" w:fill="FFFFFF" w:themeFill="background1"/>
              </w:rPr>
              <w:t xml:space="preserve"> </w:t>
            </w:r>
            <w:r w:rsidR="000B127C" w:rsidRPr="004868C9">
              <w:rPr>
                <w:rFonts w:cs="Arial"/>
                <w:shd w:val="clear" w:color="auto" w:fill="FFFFFF" w:themeFill="background1"/>
              </w:rPr>
              <w:t>the</w:t>
            </w:r>
            <w:r w:rsidR="000B127C" w:rsidRPr="004868C9">
              <w:rPr>
                <w:rFonts w:cs="Arial"/>
                <w:spacing w:val="40"/>
                <w:shd w:val="clear" w:color="auto" w:fill="FFFFFF" w:themeFill="background1"/>
              </w:rPr>
              <w:t xml:space="preserve"> </w:t>
            </w:r>
            <w:r w:rsidR="000B127C" w:rsidRPr="004868C9">
              <w:rPr>
                <w:rFonts w:cs="Arial"/>
                <w:shd w:val="clear" w:color="auto" w:fill="FFFFFF" w:themeFill="background1"/>
              </w:rPr>
              <w:t>data</w:t>
            </w:r>
            <w:r w:rsidR="000B127C" w:rsidRPr="004868C9">
              <w:rPr>
                <w:rFonts w:cs="Arial"/>
                <w:spacing w:val="25"/>
                <w:shd w:val="clear" w:color="auto" w:fill="FFFFFF" w:themeFill="background1"/>
              </w:rPr>
              <w:t xml:space="preserve"> </w:t>
            </w:r>
            <w:r w:rsidR="000B127C" w:rsidRPr="004868C9">
              <w:rPr>
                <w:rFonts w:cs="Arial"/>
                <w:shd w:val="clear" w:color="auto" w:fill="FFFFFF" w:themeFill="background1"/>
              </w:rPr>
              <w:t>presented</w:t>
            </w:r>
            <w:r w:rsidR="000B127C" w:rsidRPr="004868C9">
              <w:rPr>
                <w:rFonts w:cs="Arial"/>
                <w:spacing w:val="17"/>
                <w:shd w:val="clear" w:color="auto" w:fill="FFFFFF" w:themeFill="background1"/>
              </w:rPr>
              <w:t xml:space="preserve"> </w:t>
            </w:r>
            <w:r w:rsidR="000B127C" w:rsidRPr="004868C9">
              <w:rPr>
                <w:rFonts w:cs="Arial"/>
                <w:shd w:val="clear" w:color="auto" w:fill="FFFFFF" w:themeFill="background1"/>
              </w:rPr>
              <w:t>in</w:t>
            </w:r>
            <w:r w:rsidR="000B127C" w:rsidRPr="004868C9">
              <w:rPr>
                <w:rFonts w:cs="Arial"/>
                <w:spacing w:val="23"/>
                <w:shd w:val="clear" w:color="auto" w:fill="FFFFFF" w:themeFill="background1"/>
              </w:rPr>
              <w:t xml:space="preserve"> </w:t>
            </w:r>
            <w:r w:rsidR="000B127C" w:rsidRPr="004868C9">
              <w:rPr>
                <w:rFonts w:cs="Arial"/>
                <w:shd w:val="clear" w:color="auto" w:fill="FFFFFF" w:themeFill="background1"/>
              </w:rPr>
              <w:t>Figures</w:t>
            </w:r>
            <w:r w:rsidR="000B127C" w:rsidRPr="004868C9">
              <w:rPr>
                <w:rFonts w:cs="Arial"/>
                <w:spacing w:val="42"/>
                <w:shd w:val="clear" w:color="auto" w:fill="FFFFFF" w:themeFill="background1"/>
              </w:rPr>
              <w:t xml:space="preserve"> </w:t>
            </w:r>
            <w:r w:rsidR="000B127C" w:rsidRPr="004868C9">
              <w:rPr>
                <w:rFonts w:cs="Arial"/>
                <w:shd w:val="clear" w:color="auto" w:fill="FFFFFF" w:themeFill="background1"/>
              </w:rPr>
              <w:t>1</w:t>
            </w:r>
            <w:r w:rsidR="00236D0D" w:rsidRPr="004868C9">
              <w:rPr>
                <w:rFonts w:cs="Arial"/>
                <w:shd w:val="clear" w:color="auto" w:fill="FFFFFF" w:themeFill="background1"/>
              </w:rPr>
              <w:t>,2 and 3</w:t>
            </w:r>
            <w:r w:rsidR="000B127C" w:rsidRPr="004868C9">
              <w:rPr>
                <w:rFonts w:cs="Arial"/>
                <w:shd w:val="clear" w:color="auto" w:fill="FFFFFF" w:themeFill="background1"/>
              </w:rPr>
              <w:t>,</w:t>
            </w:r>
            <w:r w:rsidR="000B127C" w:rsidRPr="004868C9">
              <w:rPr>
                <w:rFonts w:cs="Arial"/>
                <w:spacing w:val="21"/>
                <w:shd w:val="clear" w:color="auto" w:fill="FFFFFF" w:themeFill="background1"/>
              </w:rPr>
              <w:t xml:space="preserve"> </w:t>
            </w:r>
            <w:r w:rsidR="000B127C" w:rsidRPr="004868C9">
              <w:rPr>
                <w:rFonts w:cs="Arial"/>
                <w:shd w:val="clear" w:color="auto" w:fill="FFFFFF" w:themeFill="background1"/>
              </w:rPr>
              <w:t>please</w:t>
            </w:r>
            <w:r w:rsidR="000B127C" w:rsidRPr="004868C9">
              <w:rPr>
                <w:rFonts w:cs="Arial"/>
                <w:spacing w:val="16"/>
                <w:shd w:val="clear" w:color="auto" w:fill="FFFFFF" w:themeFill="background1"/>
              </w:rPr>
              <w:t xml:space="preserve"> </w:t>
            </w:r>
            <w:r w:rsidR="000B127C" w:rsidRPr="004868C9">
              <w:rPr>
                <w:rFonts w:cs="Arial"/>
                <w:shd w:val="clear" w:color="auto" w:fill="FFFFFF" w:themeFill="background1"/>
              </w:rPr>
              <w:t>provide</w:t>
            </w:r>
            <w:r w:rsidR="000B127C" w:rsidRPr="004868C9">
              <w:rPr>
                <w:rFonts w:cs="Arial"/>
                <w:spacing w:val="40"/>
                <w:shd w:val="clear" w:color="auto" w:fill="FFFFFF" w:themeFill="background1"/>
              </w:rPr>
              <w:t xml:space="preserve"> </w:t>
            </w:r>
            <w:r w:rsidR="000B127C" w:rsidRPr="004868C9">
              <w:rPr>
                <w:rFonts w:cs="Arial"/>
                <w:shd w:val="clear" w:color="auto" w:fill="FFFFFF" w:themeFill="background1"/>
              </w:rPr>
              <w:t>a</w:t>
            </w:r>
            <w:r w:rsidR="000B127C" w:rsidRPr="004868C9">
              <w:rPr>
                <w:rFonts w:cs="Arial"/>
                <w:spacing w:val="16"/>
                <w:shd w:val="clear" w:color="auto" w:fill="FFFFFF" w:themeFill="background1"/>
              </w:rPr>
              <w:t xml:space="preserve"> </w:t>
            </w:r>
            <w:r w:rsidR="000B127C" w:rsidRPr="004868C9">
              <w:rPr>
                <w:rFonts w:cs="Arial"/>
                <w:shd w:val="clear" w:color="auto" w:fill="FFFFFF" w:themeFill="background1"/>
              </w:rPr>
              <w:t>brief</w:t>
            </w:r>
            <w:r w:rsidR="000B127C" w:rsidRPr="004868C9">
              <w:rPr>
                <w:rFonts w:cs="Arial"/>
                <w:spacing w:val="18"/>
                <w:shd w:val="clear" w:color="auto" w:fill="FFFFFF" w:themeFill="background1"/>
              </w:rPr>
              <w:t xml:space="preserve"> </w:t>
            </w:r>
            <w:r w:rsidR="000B127C" w:rsidRPr="004868C9">
              <w:rPr>
                <w:rFonts w:cs="Arial"/>
                <w:shd w:val="clear" w:color="auto" w:fill="FFFFFF" w:themeFill="background1"/>
              </w:rPr>
              <w:t>analysi</w:t>
            </w:r>
            <w:r w:rsidR="000B127C" w:rsidRPr="004868C9">
              <w:rPr>
                <w:rFonts w:cs="Arial"/>
                <w:spacing w:val="28"/>
                <w:shd w:val="clear" w:color="auto" w:fill="FFFFFF" w:themeFill="background1"/>
              </w:rPr>
              <w:t>s</w:t>
            </w:r>
            <w:r w:rsidR="000B127C" w:rsidRPr="004868C9">
              <w:rPr>
                <w:rFonts w:cs="Arial"/>
              </w:rPr>
              <w:t xml:space="preserve"> </w:t>
            </w:r>
          </w:p>
        </w:tc>
      </w:tr>
      <w:tr w:rsidR="004868C9" w:rsidRPr="004868C9" w14:paraId="0957FDC1" w14:textId="77777777" w:rsidTr="00D57DA7">
        <w:trPr>
          <w:trHeight w:val="3339"/>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000000" w:themeColor="text1"/>
            </w:tcBorders>
            <w:shd w:val="clear" w:color="auto" w:fill="auto"/>
          </w:tcPr>
          <w:p w14:paraId="781A6BB3" w14:textId="77777777" w:rsidR="00EA5B27" w:rsidRPr="004868C9" w:rsidRDefault="00EA5B27" w:rsidP="00EA5B27">
            <w:pPr>
              <w:spacing w:before="48" w:after="48"/>
              <w:rPr>
                <w:rFonts w:cs="Arial"/>
                <w:bCs w:val="0"/>
                <w:noProof/>
                <w:sz w:val="22"/>
                <w:szCs w:val="22"/>
              </w:rPr>
            </w:pPr>
          </w:p>
          <w:p w14:paraId="28A2A5B8" w14:textId="152B304B" w:rsidR="00EA5B27" w:rsidRPr="004868C9" w:rsidRDefault="00EA5B27" w:rsidP="002A0654">
            <w:pPr>
              <w:spacing w:before="48" w:after="48" w:line="259" w:lineRule="auto"/>
              <w:jc w:val="both"/>
              <w:rPr>
                <w:rFonts w:ascii="Open Sans" w:hAnsi="Open Sans" w:cs="Open Sans"/>
                <w:noProof/>
                <w:sz w:val="22"/>
                <w:szCs w:val="22"/>
              </w:rPr>
            </w:pPr>
            <w:r w:rsidRPr="004868C9">
              <w:rPr>
                <w:rFonts w:ascii="Open Sans" w:hAnsi="Open Sans" w:cs="Open Sans"/>
                <w:noProof/>
                <w:sz w:val="22"/>
                <w:szCs w:val="22"/>
              </w:rPr>
              <w:t>Overall, the numbers and percentages of institutional staff holding some form of professional recognition</w:t>
            </w:r>
            <w:r w:rsidR="00E13170" w:rsidRPr="004868C9">
              <w:rPr>
                <w:rFonts w:ascii="Open Sans" w:hAnsi="Open Sans" w:cs="Open Sans"/>
                <w:noProof/>
                <w:sz w:val="22"/>
                <w:szCs w:val="22"/>
              </w:rPr>
              <w:t xml:space="preserve"> has been maintained</w:t>
            </w:r>
            <w:r w:rsidRPr="004868C9">
              <w:rPr>
                <w:rFonts w:ascii="Open Sans" w:hAnsi="Open Sans" w:cs="Open Sans"/>
                <w:noProof/>
                <w:sz w:val="22"/>
                <w:szCs w:val="22"/>
              </w:rPr>
              <w:t xml:space="preserve">, reflecting the importance that the institution places on professional recognition, especially HEA Fellowship @ FHEA.  As a key element of this, </w:t>
            </w:r>
            <w:r w:rsidRPr="004868C9">
              <w:rPr>
                <w:rFonts w:ascii="Open Sans" w:hAnsi="Open Sans" w:cs="Open Sans"/>
                <w:bCs w:val="0"/>
                <w:noProof/>
                <w:sz w:val="22"/>
                <w:szCs w:val="22"/>
              </w:rPr>
              <w:t>the institution continues to actively seek to recruit staff who hold Fellowship for new appointments.</w:t>
            </w:r>
          </w:p>
          <w:p w14:paraId="02BC48B5" w14:textId="77777777" w:rsidR="00EA5B27" w:rsidRPr="004868C9" w:rsidRDefault="00EA5B27" w:rsidP="00EA5B27">
            <w:pPr>
              <w:spacing w:before="48" w:after="48" w:line="259" w:lineRule="auto"/>
              <w:rPr>
                <w:rFonts w:ascii="Open Sans" w:hAnsi="Open Sans" w:cs="Open Sans"/>
                <w:noProof/>
                <w:sz w:val="22"/>
                <w:szCs w:val="22"/>
              </w:rPr>
            </w:pPr>
          </w:p>
          <w:p w14:paraId="5CD1263C" w14:textId="3BC44C1F" w:rsidR="00EA5B27" w:rsidRPr="004868C9" w:rsidRDefault="00E95C98" w:rsidP="002A0654">
            <w:pPr>
              <w:spacing w:before="48" w:after="48" w:line="259" w:lineRule="auto"/>
              <w:jc w:val="both"/>
              <w:rPr>
                <w:rFonts w:ascii="Open Sans" w:hAnsi="Open Sans" w:cs="Open Sans"/>
                <w:bCs w:val="0"/>
                <w:noProof/>
                <w:sz w:val="22"/>
                <w:szCs w:val="22"/>
              </w:rPr>
            </w:pPr>
            <w:r w:rsidRPr="004868C9">
              <w:rPr>
                <w:rFonts w:ascii="Open Sans" w:hAnsi="Open Sans" w:cs="Open Sans"/>
                <w:bCs w:val="0"/>
                <w:noProof/>
                <w:sz w:val="22"/>
                <w:szCs w:val="22"/>
              </w:rPr>
              <w:t>T</w:t>
            </w:r>
            <w:r w:rsidR="00EA5B27" w:rsidRPr="004868C9">
              <w:rPr>
                <w:rFonts w:ascii="Open Sans" w:hAnsi="Open Sans" w:cs="Open Sans"/>
                <w:bCs w:val="0"/>
                <w:noProof/>
                <w:sz w:val="22"/>
                <w:szCs w:val="22"/>
              </w:rPr>
              <w:t>he number of applications and awards through the accredited institutional C@N-DO scheme ha</w:t>
            </w:r>
            <w:r w:rsidR="00A91301" w:rsidRPr="004868C9">
              <w:rPr>
                <w:rFonts w:ascii="Open Sans" w:hAnsi="Open Sans" w:cs="Open Sans"/>
                <w:bCs w:val="0"/>
                <w:noProof/>
                <w:sz w:val="22"/>
                <w:szCs w:val="22"/>
              </w:rPr>
              <w:t>s, on the whole, been maintained</w:t>
            </w:r>
            <w:r w:rsidR="00EA5B27" w:rsidRPr="004868C9">
              <w:rPr>
                <w:rFonts w:ascii="Open Sans" w:hAnsi="Open Sans" w:cs="Open Sans"/>
                <w:bCs w:val="0"/>
                <w:noProof/>
                <w:sz w:val="22"/>
                <w:szCs w:val="22"/>
              </w:rPr>
              <w:t>.  Applications, and the quality of applications (which is related to the number of awards)are strongly influenced by work pressures on staff.  Obviously the Covid pandemic has impacted all institutions, but in Northampton the pressures and associated workloads have been compounded by internal curricula changes and these impact on applications for Fellowship.</w:t>
            </w:r>
          </w:p>
          <w:p w14:paraId="186FEFE0" w14:textId="77777777" w:rsidR="007328C8" w:rsidRPr="004868C9" w:rsidRDefault="007328C8" w:rsidP="00EA5B27">
            <w:pPr>
              <w:spacing w:before="48" w:after="48" w:line="259" w:lineRule="auto"/>
              <w:rPr>
                <w:rFonts w:ascii="Open Sans" w:hAnsi="Open Sans" w:cs="Open Sans"/>
                <w:noProof/>
                <w:sz w:val="22"/>
                <w:szCs w:val="22"/>
              </w:rPr>
            </w:pPr>
          </w:p>
          <w:p w14:paraId="2F8E8383" w14:textId="79C54949" w:rsidR="000B127C" w:rsidRPr="004868C9" w:rsidRDefault="00EA5B27" w:rsidP="002A0654">
            <w:pPr>
              <w:spacing w:before="48" w:after="48"/>
              <w:jc w:val="both"/>
              <w:rPr>
                <w:noProof/>
                <w:lang w:eastAsia="en-GB"/>
              </w:rPr>
            </w:pPr>
            <w:r w:rsidRPr="004868C9">
              <w:rPr>
                <w:rFonts w:ascii="Open Sans" w:hAnsi="Open Sans" w:cs="Open Sans"/>
                <w:bCs w:val="0"/>
                <w:noProof/>
                <w:sz w:val="22"/>
                <w:szCs w:val="22"/>
              </w:rPr>
              <w:t>The imbalance between C@N-DO awards of FHEA and SFHEA in particular may reflect the particular burden carried by those leading in learning and teaching in. steering teams through curricular change etc and anecdotally there are notable numbers of staff who have ‘started’ an application for SFHEA but have been unable to complete to date.</w:t>
            </w:r>
            <w:r w:rsidRPr="004868C9">
              <w:rPr>
                <w:rFonts w:cs="Arial"/>
                <w:bCs w:val="0"/>
                <w:i/>
                <w:iCs/>
                <w:noProof/>
                <w:sz w:val="22"/>
                <w:szCs w:val="22"/>
              </w:rPr>
              <w:t xml:space="preserve">  </w:t>
            </w:r>
          </w:p>
        </w:tc>
      </w:tr>
    </w:tbl>
    <w:p w14:paraId="0FAE7B54" w14:textId="77777777" w:rsidR="00614503" w:rsidRPr="004868C9" w:rsidRDefault="00614503">
      <w:pPr>
        <w:spacing w:after="160" w:line="259" w:lineRule="auto"/>
        <w:rPr>
          <w:rFonts w:eastAsiaTheme="majorEastAsia" w:cs="Arial"/>
          <w:b/>
          <w:bCs/>
          <w:sz w:val="26"/>
          <w:szCs w:val="26"/>
          <w:lang w:val="en-US"/>
        </w:rPr>
      </w:pPr>
      <w:r w:rsidRPr="004868C9">
        <w:rPr>
          <w:rFonts w:eastAsiaTheme="majorEastAsia" w:cs="Arial"/>
          <w:b/>
          <w:bCs/>
          <w:sz w:val="26"/>
          <w:szCs w:val="26"/>
          <w:lang w:val="en-US"/>
        </w:rPr>
        <w:br w:type="page"/>
      </w:r>
    </w:p>
    <w:p w14:paraId="33BE116B" w14:textId="4148B09D" w:rsidR="000B127C" w:rsidRDefault="007A32C8" w:rsidP="000B127C">
      <w:pPr>
        <w:keepNext/>
        <w:keepLines/>
        <w:spacing w:before="200" w:after="220"/>
        <w:outlineLvl w:val="2"/>
        <w:rPr>
          <w:rFonts w:eastAsiaTheme="majorEastAsia" w:cs="Arial"/>
          <w:b/>
          <w:bCs/>
          <w:sz w:val="26"/>
          <w:szCs w:val="26"/>
          <w:lang w:val="en-US"/>
        </w:rPr>
      </w:pPr>
      <w:r w:rsidRPr="004868C9">
        <w:rPr>
          <w:rFonts w:eastAsiaTheme="majorEastAsia" w:cs="Arial"/>
          <w:b/>
          <w:bCs/>
          <w:sz w:val="26"/>
          <w:szCs w:val="26"/>
          <w:lang w:val="en-US"/>
        </w:rPr>
        <w:lastRenderedPageBreak/>
        <w:t>Section 1</w:t>
      </w:r>
      <w:r w:rsidR="000B127C" w:rsidRPr="004868C9">
        <w:rPr>
          <w:rFonts w:eastAsiaTheme="majorEastAsia" w:cs="Arial"/>
          <w:b/>
          <w:bCs/>
          <w:sz w:val="26"/>
          <w:szCs w:val="26"/>
          <w:lang w:val="en-US"/>
        </w:rPr>
        <w:t xml:space="preserve"> Part b: Success rates at first attempt</w:t>
      </w:r>
      <w:r w:rsidR="00867A64" w:rsidRPr="004868C9">
        <w:rPr>
          <w:rFonts w:eastAsiaTheme="majorEastAsia" w:cs="Arial"/>
          <w:b/>
          <w:bCs/>
          <w:sz w:val="26"/>
          <w:szCs w:val="26"/>
          <w:lang w:val="en-US"/>
        </w:rPr>
        <w:t xml:space="preserve"> for accredited CPD Scheme</w:t>
      </w:r>
    </w:p>
    <w:p w14:paraId="1CAC4770" w14:textId="183D4358" w:rsidR="004868C9" w:rsidRPr="004868C9" w:rsidRDefault="004868C9" w:rsidP="000B127C">
      <w:pPr>
        <w:keepNext/>
        <w:keepLines/>
        <w:spacing w:before="200" w:after="220"/>
        <w:outlineLvl w:val="2"/>
        <w:rPr>
          <w:rFonts w:eastAsiaTheme="majorEastAsia" w:cs="Arial"/>
          <w:b/>
          <w:bCs/>
          <w:sz w:val="26"/>
          <w:szCs w:val="26"/>
          <w:lang w:val="en-US"/>
        </w:rPr>
      </w:pPr>
      <w:r w:rsidRPr="004868C9">
        <w:rPr>
          <w:rFonts w:cs="Arial"/>
          <w:szCs w:val="22"/>
        </w:rPr>
        <w:t xml:space="preserve">Please complete the areas below to report the </w:t>
      </w:r>
      <w:r w:rsidRPr="004868C9">
        <w:rPr>
          <w:rFonts w:cs="Arial"/>
          <w:b/>
          <w:szCs w:val="22"/>
        </w:rPr>
        <w:t>number</w:t>
      </w:r>
      <w:r w:rsidRPr="004868C9">
        <w:rPr>
          <w:rFonts w:cs="Arial"/>
          <w:szCs w:val="22"/>
        </w:rPr>
        <w:t xml:space="preserve"> of successful applicants at first submission for each Descriptor within your accredited scheme over the last twelve months (1</w:t>
      </w:r>
      <w:r w:rsidRPr="004868C9">
        <w:rPr>
          <w:rFonts w:cs="Arial"/>
          <w:spacing w:val="-14"/>
          <w:szCs w:val="22"/>
        </w:rPr>
        <w:t xml:space="preserve"> </w:t>
      </w:r>
      <w:r w:rsidRPr="004868C9">
        <w:rPr>
          <w:rFonts w:cs="Arial"/>
          <w:szCs w:val="22"/>
        </w:rPr>
        <w:t xml:space="preserve">August 2021 – 31 July 2022). Please </w:t>
      </w:r>
      <w:r w:rsidRPr="004868C9">
        <w:rPr>
          <w:rFonts w:cs="Arial"/>
          <w:b/>
          <w:szCs w:val="22"/>
        </w:rPr>
        <w:t>do not</w:t>
      </w:r>
      <w:r w:rsidRPr="004868C9">
        <w:rPr>
          <w:rFonts w:cs="Arial"/>
          <w:b/>
          <w:spacing w:val="-1"/>
          <w:szCs w:val="22"/>
        </w:rPr>
        <w:t xml:space="preserve"> </w:t>
      </w:r>
      <w:r w:rsidRPr="004868C9">
        <w:rPr>
          <w:rFonts w:cs="Arial"/>
          <w:szCs w:val="22"/>
        </w:rPr>
        <w:t>estimate if exact details are unknown but indicate why the data may not be available.</w:t>
      </w:r>
    </w:p>
    <w:tbl>
      <w:tblPr>
        <w:tblStyle w:val="LightList-Accent11"/>
        <w:tblW w:w="9640" w:type="dxa"/>
        <w:jc w:val="center"/>
        <w:tblLook w:val="04A0" w:firstRow="1" w:lastRow="0" w:firstColumn="1" w:lastColumn="0" w:noHBand="0" w:noVBand="1"/>
      </w:tblPr>
      <w:tblGrid>
        <w:gridCol w:w="2547"/>
        <w:gridCol w:w="3402"/>
        <w:gridCol w:w="3691"/>
      </w:tblGrid>
      <w:tr w:rsidR="004868C9" w:rsidRPr="004868C9" w14:paraId="14116B68" w14:textId="77777777" w:rsidTr="004868C9">
        <w:trPr>
          <w:cnfStyle w:val="100000000000" w:firstRow="1" w:lastRow="0" w:firstColumn="0" w:lastColumn="0" w:oddVBand="0" w:evenVBand="0" w:oddHBand="0"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vAlign w:val="center"/>
          </w:tcPr>
          <w:p w14:paraId="17F1AAAA" w14:textId="77777777" w:rsidR="000B127C" w:rsidRPr="004868C9" w:rsidRDefault="000B127C" w:rsidP="00C74BA8">
            <w:pPr>
              <w:spacing w:before="240" w:after="240"/>
              <w:ind w:left="142"/>
              <w:rPr>
                <w:rFonts w:cs="Arial"/>
                <w:bCs w:val="0"/>
              </w:rPr>
            </w:pPr>
          </w:p>
        </w:tc>
        <w:tc>
          <w:tcPr>
            <w:tcW w:w="3402" w:type="dxa"/>
            <w:shd w:val="clear" w:color="auto" w:fill="FFFFFF" w:themeFill="background1"/>
            <w:vAlign w:val="center"/>
          </w:tcPr>
          <w:p w14:paraId="2D2D0A5C" w14:textId="77777777" w:rsidR="000B127C" w:rsidRPr="004868C9" w:rsidRDefault="000B127C" w:rsidP="00C74BA8">
            <w:pPr>
              <w:spacing w:beforeLines="20" w:before="48" w:afterLines="20" w:after="48"/>
              <w:ind w:left="142"/>
              <w:jc w:val="center"/>
              <w:cnfStyle w:val="100000000000" w:firstRow="1" w:lastRow="0" w:firstColumn="0" w:lastColumn="0" w:oddVBand="0" w:evenVBand="0" w:oddHBand="0" w:evenHBand="0" w:firstRowFirstColumn="0" w:firstRowLastColumn="0" w:lastRowFirstColumn="0" w:lastRowLastColumn="0"/>
              <w:rPr>
                <w:rFonts w:cs="Arial"/>
                <w:bCs w:val="0"/>
              </w:rPr>
            </w:pPr>
            <w:r w:rsidRPr="004868C9">
              <w:rPr>
                <w:rFonts w:cs="Arial"/>
                <w:spacing w:val="-7"/>
                <w:w w:val="105"/>
              </w:rPr>
              <w:t>Total</w:t>
            </w:r>
            <w:r w:rsidRPr="004868C9">
              <w:rPr>
                <w:rFonts w:cs="Arial"/>
                <w:spacing w:val="-18"/>
                <w:w w:val="105"/>
              </w:rPr>
              <w:t xml:space="preserve"> </w:t>
            </w:r>
            <w:r w:rsidRPr="004868C9">
              <w:rPr>
                <w:rFonts w:cs="Arial"/>
                <w:w w:val="105"/>
              </w:rPr>
              <w:t>number</w:t>
            </w:r>
            <w:r w:rsidRPr="004868C9">
              <w:rPr>
                <w:rFonts w:cs="Arial"/>
                <w:spacing w:val="-18"/>
                <w:w w:val="105"/>
              </w:rPr>
              <w:t xml:space="preserve"> </w:t>
            </w:r>
            <w:r w:rsidRPr="004868C9">
              <w:rPr>
                <w:rFonts w:cs="Arial"/>
                <w:w w:val="105"/>
              </w:rPr>
              <w:t>of</w:t>
            </w:r>
            <w:r w:rsidRPr="004868C9">
              <w:rPr>
                <w:rFonts w:cs="Arial"/>
                <w:spacing w:val="-18"/>
                <w:w w:val="105"/>
              </w:rPr>
              <w:t xml:space="preserve"> </w:t>
            </w:r>
            <w:r w:rsidRPr="004868C9">
              <w:rPr>
                <w:rFonts w:cs="Arial"/>
                <w:w w:val="105"/>
              </w:rPr>
              <w:t>applications</w:t>
            </w:r>
            <w:r w:rsidRPr="004868C9">
              <w:rPr>
                <w:rFonts w:cs="Arial"/>
                <w:spacing w:val="-18"/>
                <w:w w:val="105"/>
              </w:rPr>
              <w:t xml:space="preserve"> </w:t>
            </w:r>
            <w:r w:rsidRPr="004868C9">
              <w:rPr>
                <w:rFonts w:cs="Arial"/>
                <w:w w:val="105"/>
              </w:rPr>
              <w:t>processed</w:t>
            </w:r>
          </w:p>
        </w:tc>
        <w:tc>
          <w:tcPr>
            <w:tcW w:w="3691" w:type="dxa"/>
            <w:shd w:val="clear" w:color="auto" w:fill="FFFFFF" w:themeFill="background1"/>
            <w:vAlign w:val="center"/>
          </w:tcPr>
          <w:p w14:paraId="33F333A7" w14:textId="77777777" w:rsidR="000B127C" w:rsidRPr="004868C9" w:rsidRDefault="000B127C" w:rsidP="00C74BA8">
            <w:pPr>
              <w:spacing w:before="240" w:after="240"/>
              <w:ind w:left="142"/>
              <w:jc w:val="center"/>
              <w:cnfStyle w:val="100000000000" w:firstRow="1" w:lastRow="0" w:firstColumn="0" w:lastColumn="0" w:oddVBand="0" w:evenVBand="0" w:oddHBand="0" w:evenHBand="0" w:firstRowFirstColumn="0" w:firstRowLastColumn="0" w:lastRowFirstColumn="0" w:lastRowLastColumn="0"/>
              <w:rPr>
                <w:rFonts w:cs="Arial"/>
              </w:rPr>
            </w:pPr>
            <w:r w:rsidRPr="004868C9">
              <w:rPr>
                <w:rFonts w:cs="Arial"/>
                <w:b/>
                <w:w w:val="105"/>
              </w:rPr>
              <w:t>Number</w:t>
            </w:r>
            <w:r w:rsidRPr="004868C9">
              <w:rPr>
                <w:rFonts w:cs="Arial"/>
                <w:spacing w:val="-17"/>
                <w:w w:val="105"/>
              </w:rPr>
              <w:t xml:space="preserve"> </w:t>
            </w:r>
            <w:r w:rsidRPr="004868C9">
              <w:rPr>
                <w:rFonts w:cs="Arial"/>
                <w:w w:val="105"/>
              </w:rPr>
              <w:t>of</w:t>
            </w:r>
            <w:r w:rsidRPr="004868C9">
              <w:rPr>
                <w:rFonts w:cs="Arial"/>
                <w:w w:val="103"/>
              </w:rPr>
              <w:t xml:space="preserve"> </w:t>
            </w:r>
            <w:r w:rsidRPr="004868C9">
              <w:rPr>
                <w:rFonts w:cs="Arial"/>
                <w:w w:val="105"/>
              </w:rPr>
              <w:t>successful</w:t>
            </w:r>
            <w:r w:rsidRPr="004868C9">
              <w:rPr>
                <w:rFonts w:cs="Arial"/>
                <w:spacing w:val="-20"/>
                <w:w w:val="105"/>
              </w:rPr>
              <w:t xml:space="preserve"> </w:t>
            </w:r>
            <w:r w:rsidRPr="004868C9">
              <w:rPr>
                <w:rFonts w:cs="Arial"/>
                <w:w w:val="105"/>
              </w:rPr>
              <w:t>submissions</w:t>
            </w:r>
            <w:r w:rsidRPr="004868C9">
              <w:rPr>
                <w:rFonts w:cs="Arial"/>
                <w:spacing w:val="-20"/>
                <w:w w:val="105"/>
              </w:rPr>
              <w:t xml:space="preserve"> </w:t>
            </w:r>
            <w:r w:rsidRPr="004868C9">
              <w:rPr>
                <w:rFonts w:cs="Arial"/>
                <w:w w:val="105"/>
              </w:rPr>
              <w:t>at</w:t>
            </w:r>
            <w:r w:rsidRPr="004868C9">
              <w:rPr>
                <w:rFonts w:cs="Arial"/>
                <w:spacing w:val="-19"/>
                <w:w w:val="105"/>
              </w:rPr>
              <w:t xml:space="preserve"> </w:t>
            </w:r>
            <w:r w:rsidRPr="004868C9">
              <w:rPr>
                <w:rFonts w:cs="Arial"/>
                <w:w w:val="105"/>
              </w:rPr>
              <w:t>first</w:t>
            </w:r>
            <w:r w:rsidRPr="004868C9">
              <w:rPr>
                <w:rFonts w:cs="Arial"/>
                <w:w w:val="103"/>
              </w:rPr>
              <w:t xml:space="preserve"> </w:t>
            </w:r>
            <w:r w:rsidRPr="004868C9">
              <w:rPr>
                <w:rFonts w:cs="Arial"/>
                <w:w w:val="105"/>
              </w:rPr>
              <w:t>attempt</w:t>
            </w:r>
          </w:p>
        </w:tc>
      </w:tr>
      <w:tr w:rsidR="004868C9" w:rsidRPr="004868C9" w14:paraId="3D1DBCE4" w14:textId="77777777" w:rsidTr="004868C9">
        <w:trPr>
          <w:trHeight w:val="687"/>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themeColor="text1"/>
            </w:tcBorders>
            <w:shd w:val="clear" w:color="auto" w:fill="FFFFFF" w:themeFill="background1"/>
            <w:vAlign w:val="center"/>
          </w:tcPr>
          <w:p w14:paraId="7B52312C" w14:textId="77777777" w:rsidR="000B127C" w:rsidRPr="004868C9" w:rsidRDefault="000B127C" w:rsidP="00C74BA8">
            <w:pPr>
              <w:spacing w:before="48" w:after="48"/>
              <w:ind w:left="142"/>
              <w:rPr>
                <w:rFonts w:cs="Arial"/>
                <w:bCs w:val="0"/>
              </w:rPr>
            </w:pPr>
            <w:r w:rsidRPr="004868C9">
              <w:rPr>
                <w:rFonts w:eastAsia="Times New Roman" w:cs="Arial"/>
                <w:noProof/>
                <w:lang w:eastAsia="en-GB"/>
              </w:rPr>
              <w:t>Descriptor 1</w:t>
            </w:r>
          </w:p>
        </w:tc>
        <w:tc>
          <w:tcPr>
            <w:tcW w:w="3402" w:type="dxa"/>
            <w:tcBorders>
              <w:top w:val="single" w:sz="4" w:space="0" w:color="000000" w:themeColor="text1"/>
            </w:tcBorders>
            <w:vAlign w:val="center"/>
          </w:tcPr>
          <w:p w14:paraId="1B354E43" w14:textId="1317E9ED" w:rsidR="000B127C" w:rsidRPr="004868C9" w:rsidRDefault="00E1622E" w:rsidP="00C74BA8">
            <w:pPr>
              <w:spacing w:beforeLines="20" w:before="48" w:afterLines="20"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Cs/>
                <w:sz w:val="22"/>
                <w:szCs w:val="22"/>
              </w:rPr>
            </w:pPr>
            <w:r w:rsidRPr="004868C9">
              <w:rPr>
                <w:rFonts w:ascii="Open Sans" w:hAnsi="Open Sans" w:cs="Open Sans"/>
                <w:bCs/>
                <w:sz w:val="22"/>
                <w:szCs w:val="22"/>
              </w:rPr>
              <w:t>8</w:t>
            </w:r>
          </w:p>
        </w:tc>
        <w:tc>
          <w:tcPr>
            <w:tcW w:w="3691" w:type="dxa"/>
            <w:tcBorders>
              <w:top w:val="single" w:sz="4" w:space="0" w:color="000000" w:themeColor="text1"/>
            </w:tcBorders>
            <w:vAlign w:val="center"/>
          </w:tcPr>
          <w:p w14:paraId="67081BC2" w14:textId="35957B94" w:rsidR="000B127C" w:rsidRPr="004868C9" w:rsidRDefault="00B84C11" w:rsidP="00C74BA8">
            <w:pPr>
              <w:spacing w:before="48"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sidRPr="004868C9">
              <w:rPr>
                <w:rFonts w:ascii="Open Sans" w:hAnsi="Open Sans" w:cs="Open Sans"/>
                <w:sz w:val="22"/>
                <w:szCs w:val="22"/>
              </w:rPr>
              <w:t>*</w:t>
            </w:r>
            <w:r w:rsidR="006852ED" w:rsidRPr="004868C9">
              <w:rPr>
                <w:rFonts w:ascii="Open Sans" w:hAnsi="Open Sans" w:cs="Open Sans"/>
                <w:sz w:val="22"/>
                <w:szCs w:val="22"/>
              </w:rPr>
              <w:t>Unknown</w:t>
            </w:r>
          </w:p>
        </w:tc>
      </w:tr>
      <w:tr w:rsidR="004868C9" w:rsidRPr="004868C9" w14:paraId="31C97D94" w14:textId="77777777" w:rsidTr="004868C9">
        <w:trPr>
          <w:trHeight w:val="687"/>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themeColor="text1"/>
            </w:tcBorders>
            <w:shd w:val="clear" w:color="auto" w:fill="FFFFFF" w:themeFill="background1"/>
            <w:vAlign w:val="center"/>
          </w:tcPr>
          <w:p w14:paraId="38E44162" w14:textId="77777777" w:rsidR="000B127C" w:rsidRPr="004868C9" w:rsidRDefault="000B127C" w:rsidP="00C74BA8">
            <w:pPr>
              <w:spacing w:before="48" w:after="48"/>
              <w:ind w:left="142"/>
              <w:rPr>
                <w:rFonts w:cs="Arial"/>
                <w:bCs w:val="0"/>
              </w:rPr>
            </w:pPr>
            <w:r w:rsidRPr="004868C9">
              <w:rPr>
                <w:rFonts w:eastAsia="Times New Roman" w:cs="Arial"/>
                <w:noProof/>
                <w:lang w:eastAsia="en-GB"/>
              </w:rPr>
              <w:t>Descriptor 2</w:t>
            </w:r>
          </w:p>
        </w:tc>
        <w:tc>
          <w:tcPr>
            <w:tcW w:w="3402" w:type="dxa"/>
            <w:tcBorders>
              <w:top w:val="single" w:sz="4" w:space="0" w:color="000000" w:themeColor="text1"/>
            </w:tcBorders>
            <w:vAlign w:val="center"/>
          </w:tcPr>
          <w:p w14:paraId="27AD1C2D" w14:textId="321963D6" w:rsidR="000B127C" w:rsidRPr="004868C9" w:rsidRDefault="00E1622E" w:rsidP="00C74BA8">
            <w:pPr>
              <w:spacing w:beforeLines="20" w:before="48" w:afterLines="20"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Cs/>
                <w:sz w:val="22"/>
                <w:szCs w:val="22"/>
              </w:rPr>
            </w:pPr>
            <w:r w:rsidRPr="004868C9">
              <w:rPr>
                <w:rFonts w:ascii="Open Sans" w:hAnsi="Open Sans" w:cs="Open Sans"/>
                <w:bCs/>
                <w:sz w:val="22"/>
                <w:szCs w:val="22"/>
              </w:rPr>
              <w:t>17</w:t>
            </w:r>
          </w:p>
        </w:tc>
        <w:tc>
          <w:tcPr>
            <w:tcW w:w="3691" w:type="dxa"/>
            <w:tcBorders>
              <w:top w:val="single" w:sz="4" w:space="0" w:color="000000" w:themeColor="text1"/>
            </w:tcBorders>
            <w:vAlign w:val="center"/>
          </w:tcPr>
          <w:p w14:paraId="371EC071" w14:textId="42B2AA9E" w:rsidR="000B127C" w:rsidRPr="004868C9" w:rsidRDefault="00B84C11" w:rsidP="00C74BA8">
            <w:pPr>
              <w:spacing w:before="48"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sidRPr="004868C9">
              <w:rPr>
                <w:rFonts w:ascii="Open Sans" w:hAnsi="Open Sans" w:cs="Open Sans"/>
                <w:sz w:val="22"/>
                <w:szCs w:val="22"/>
              </w:rPr>
              <w:t>*</w:t>
            </w:r>
            <w:r w:rsidR="006852ED" w:rsidRPr="004868C9">
              <w:rPr>
                <w:rFonts w:ascii="Open Sans" w:hAnsi="Open Sans" w:cs="Open Sans"/>
                <w:sz w:val="22"/>
                <w:szCs w:val="22"/>
              </w:rPr>
              <w:t>Unknown</w:t>
            </w:r>
          </w:p>
        </w:tc>
      </w:tr>
      <w:tr w:rsidR="004868C9" w:rsidRPr="004868C9" w14:paraId="6191C41E" w14:textId="77777777" w:rsidTr="004868C9">
        <w:trPr>
          <w:trHeight w:val="687"/>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themeColor="text1"/>
            </w:tcBorders>
            <w:shd w:val="clear" w:color="auto" w:fill="FFFFFF" w:themeFill="background1"/>
            <w:vAlign w:val="center"/>
          </w:tcPr>
          <w:p w14:paraId="19E35808" w14:textId="77777777" w:rsidR="000B127C" w:rsidRPr="004868C9" w:rsidRDefault="000B127C" w:rsidP="00C74BA8">
            <w:pPr>
              <w:spacing w:before="48" w:after="48"/>
              <w:ind w:left="142"/>
              <w:rPr>
                <w:rFonts w:cs="Arial"/>
                <w:bCs w:val="0"/>
              </w:rPr>
            </w:pPr>
            <w:r w:rsidRPr="004868C9">
              <w:rPr>
                <w:rFonts w:eastAsia="Times New Roman" w:cs="Arial"/>
                <w:noProof/>
                <w:lang w:eastAsia="en-GB"/>
              </w:rPr>
              <w:t>Descriptor 3</w:t>
            </w:r>
          </w:p>
        </w:tc>
        <w:tc>
          <w:tcPr>
            <w:tcW w:w="3402" w:type="dxa"/>
            <w:tcBorders>
              <w:top w:val="single" w:sz="4" w:space="0" w:color="000000" w:themeColor="text1"/>
            </w:tcBorders>
            <w:vAlign w:val="center"/>
          </w:tcPr>
          <w:p w14:paraId="41B4E666" w14:textId="3C133020" w:rsidR="000B127C" w:rsidRPr="004868C9" w:rsidRDefault="00E1622E" w:rsidP="00C74BA8">
            <w:pPr>
              <w:spacing w:beforeLines="20" w:before="48" w:afterLines="20"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Cs/>
                <w:sz w:val="22"/>
                <w:szCs w:val="22"/>
              </w:rPr>
            </w:pPr>
            <w:r w:rsidRPr="004868C9">
              <w:rPr>
                <w:rFonts w:ascii="Open Sans" w:hAnsi="Open Sans" w:cs="Open Sans"/>
                <w:bCs/>
                <w:sz w:val="22"/>
                <w:szCs w:val="22"/>
              </w:rPr>
              <w:t>5</w:t>
            </w:r>
          </w:p>
        </w:tc>
        <w:tc>
          <w:tcPr>
            <w:tcW w:w="3691" w:type="dxa"/>
            <w:tcBorders>
              <w:top w:val="single" w:sz="4" w:space="0" w:color="000000" w:themeColor="text1"/>
            </w:tcBorders>
            <w:vAlign w:val="center"/>
          </w:tcPr>
          <w:p w14:paraId="53F7B96F" w14:textId="5B483EAC" w:rsidR="000B127C" w:rsidRPr="004868C9" w:rsidRDefault="00B84C11" w:rsidP="00C74BA8">
            <w:pPr>
              <w:spacing w:before="48"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sidRPr="004868C9">
              <w:rPr>
                <w:rFonts w:ascii="Open Sans" w:hAnsi="Open Sans" w:cs="Open Sans"/>
                <w:sz w:val="22"/>
                <w:szCs w:val="22"/>
              </w:rPr>
              <w:t>*</w:t>
            </w:r>
            <w:r w:rsidR="006852ED" w:rsidRPr="004868C9">
              <w:rPr>
                <w:rFonts w:ascii="Open Sans" w:hAnsi="Open Sans" w:cs="Open Sans"/>
                <w:sz w:val="22"/>
                <w:szCs w:val="22"/>
              </w:rPr>
              <w:t>Unknown</w:t>
            </w:r>
          </w:p>
        </w:tc>
      </w:tr>
      <w:tr w:rsidR="004868C9" w:rsidRPr="004868C9" w14:paraId="1DC2B06C" w14:textId="77777777" w:rsidTr="004868C9">
        <w:trPr>
          <w:trHeight w:val="687"/>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themeColor="text1"/>
            </w:tcBorders>
            <w:shd w:val="clear" w:color="auto" w:fill="FFFFFF" w:themeFill="background1"/>
            <w:vAlign w:val="center"/>
          </w:tcPr>
          <w:p w14:paraId="301DA936" w14:textId="77777777" w:rsidR="000B127C" w:rsidRPr="004868C9" w:rsidRDefault="000B127C" w:rsidP="00C74BA8">
            <w:pPr>
              <w:spacing w:before="48" w:after="48"/>
              <w:ind w:left="142"/>
              <w:rPr>
                <w:rFonts w:cs="Arial"/>
                <w:bCs w:val="0"/>
              </w:rPr>
            </w:pPr>
            <w:r w:rsidRPr="004868C9">
              <w:rPr>
                <w:rFonts w:cs="Arial"/>
                <w:bCs w:val="0"/>
              </w:rPr>
              <w:t>Descriptor 4</w:t>
            </w:r>
          </w:p>
        </w:tc>
        <w:tc>
          <w:tcPr>
            <w:tcW w:w="3402" w:type="dxa"/>
            <w:tcBorders>
              <w:top w:val="single" w:sz="4" w:space="0" w:color="000000" w:themeColor="text1"/>
            </w:tcBorders>
            <w:vAlign w:val="center"/>
          </w:tcPr>
          <w:p w14:paraId="7CF14F2F" w14:textId="17F2B99E" w:rsidR="000B127C" w:rsidRPr="004868C9" w:rsidRDefault="00822F7D" w:rsidP="00C74BA8">
            <w:pPr>
              <w:spacing w:beforeLines="20" w:before="48" w:afterLines="20"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Cs/>
                <w:sz w:val="22"/>
                <w:szCs w:val="22"/>
              </w:rPr>
            </w:pPr>
            <w:r w:rsidRPr="004868C9">
              <w:rPr>
                <w:rFonts w:ascii="Open Sans" w:hAnsi="Open Sans" w:cs="Open Sans"/>
                <w:bCs/>
                <w:sz w:val="22"/>
                <w:szCs w:val="22"/>
              </w:rPr>
              <w:t>N/A</w:t>
            </w:r>
          </w:p>
        </w:tc>
        <w:tc>
          <w:tcPr>
            <w:tcW w:w="3691" w:type="dxa"/>
            <w:tcBorders>
              <w:top w:val="single" w:sz="4" w:space="0" w:color="000000" w:themeColor="text1"/>
            </w:tcBorders>
            <w:vAlign w:val="center"/>
          </w:tcPr>
          <w:p w14:paraId="5077C4B8" w14:textId="21BC392C" w:rsidR="000B127C" w:rsidRPr="004868C9" w:rsidRDefault="00822F7D" w:rsidP="00C74BA8">
            <w:pPr>
              <w:spacing w:before="48" w:after="48"/>
              <w:ind w:left="142"/>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sidRPr="004868C9">
              <w:rPr>
                <w:rFonts w:ascii="Open Sans" w:hAnsi="Open Sans" w:cs="Open Sans"/>
                <w:sz w:val="22"/>
                <w:szCs w:val="22"/>
              </w:rPr>
              <w:t>N/A</w:t>
            </w:r>
          </w:p>
        </w:tc>
      </w:tr>
    </w:tbl>
    <w:p w14:paraId="3DF26EFF" w14:textId="77777777" w:rsidR="004868C9" w:rsidRPr="004868C9" w:rsidRDefault="004868C9" w:rsidP="004868C9">
      <w:pPr>
        <w:spacing w:before="48" w:after="48"/>
        <w:jc w:val="both"/>
        <w:rPr>
          <w:rFonts w:ascii="Open Sans" w:hAnsi="Open Sans" w:cs="Open Sans"/>
          <w:bCs/>
          <w:noProof/>
          <w:sz w:val="22"/>
          <w:szCs w:val="22"/>
        </w:rPr>
      </w:pPr>
      <w:r w:rsidRPr="004868C9">
        <w:rPr>
          <w:rFonts w:ascii="Open Sans" w:hAnsi="Open Sans" w:cs="Open Sans"/>
          <w:noProof/>
          <w:sz w:val="22"/>
          <w:szCs w:val="22"/>
        </w:rPr>
        <w:t xml:space="preserve">Applications for professional recognition through the scheme continue to be hit hard in recent years by challenges and heavy workloads arising from the demands inflicted globally by the Covid pandemic.  Nevertheless whilst the number of submissions for AFHEA and FHEA is healthy, the patterns shown for SFHEA are concerning:  </w:t>
      </w:r>
    </w:p>
    <w:p w14:paraId="1898F3F9" w14:textId="77777777" w:rsidR="004868C9" w:rsidRPr="004868C9" w:rsidRDefault="004868C9" w:rsidP="004868C9">
      <w:pPr>
        <w:spacing w:before="48" w:after="48"/>
        <w:rPr>
          <w:rFonts w:ascii="Open Sans" w:hAnsi="Open Sans" w:cs="Open Sans"/>
          <w:bCs/>
          <w:noProof/>
          <w:sz w:val="22"/>
          <w:szCs w:val="22"/>
        </w:rPr>
      </w:pPr>
    </w:p>
    <w:p w14:paraId="3ED447F0" w14:textId="77777777" w:rsidR="004868C9" w:rsidRPr="004868C9" w:rsidRDefault="004868C9" w:rsidP="004868C9">
      <w:pPr>
        <w:pStyle w:val="ListParagraph"/>
        <w:numPr>
          <w:ilvl w:val="0"/>
          <w:numId w:val="2"/>
        </w:numPr>
        <w:spacing w:before="48" w:after="48"/>
        <w:rPr>
          <w:rFonts w:ascii="Open Sans" w:hAnsi="Open Sans" w:cs="Open Sans"/>
          <w:noProof/>
          <w:sz w:val="22"/>
          <w:szCs w:val="22"/>
        </w:rPr>
      </w:pPr>
      <w:r w:rsidRPr="004868C9">
        <w:rPr>
          <w:rFonts w:ascii="Open Sans" w:hAnsi="Open Sans" w:cs="Open Sans"/>
          <w:noProof/>
          <w:sz w:val="22"/>
          <w:szCs w:val="22"/>
        </w:rPr>
        <w:t xml:space="preserve">The number of submissions for SFHEA coming to panel in 2021-22 was low as numbers of potential applicants did not manage to complete in time for panels.  </w:t>
      </w:r>
    </w:p>
    <w:p w14:paraId="70D889AB" w14:textId="77777777" w:rsidR="004868C9" w:rsidRPr="004868C9" w:rsidRDefault="004868C9" w:rsidP="004868C9">
      <w:pPr>
        <w:spacing w:before="48" w:after="48"/>
        <w:rPr>
          <w:rFonts w:cs="Arial"/>
          <w:bCs/>
          <w:noProof/>
          <w:sz w:val="22"/>
          <w:szCs w:val="22"/>
        </w:rPr>
      </w:pPr>
    </w:p>
    <w:p w14:paraId="3E2649E6" w14:textId="77777777" w:rsidR="004868C9" w:rsidRPr="004868C9" w:rsidRDefault="004868C9" w:rsidP="004868C9">
      <w:pPr>
        <w:spacing w:before="48" w:after="48"/>
        <w:rPr>
          <w:rFonts w:ascii="Open Sans" w:hAnsi="Open Sans" w:cs="Open Sans"/>
          <w:bCs/>
          <w:noProof/>
          <w:sz w:val="22"/>
          <w:szCs w:val="22"/>
        </w:rPr>
      </w:pPr>
      <w:r w:rsidRPr="004868C9">
        <w:rPr>
          <w:rFonts w:ascii="Open Sans" w:hAnsi="Open Sans" w:cs="Open Sans"/>
          <w:noProof/>
          <w:sz w:val="22"/>
          <w:szCs w:val="22"/>
        </w:rPr>
        <w:t>New strategies to be adopted for the 2021-22 academic year included:</w:t>
      </w:r>
    </w:p>
    <w:p w14:paraId="5DEDE23B" w14:textId="77777777" w:rsidR="004868C9" w:rsidRPr="004868C9" w:rsidRDefault="004868C9" w:rsidP="004868C9">
      <w:pPr>
        <w:spacing w:before="48" w:after="48"/>
        <w:rPr>
          <w:rFonts w:ascii="Open Sans" w:hAnsi="Open Sans" w:cs="Open Sans"/>
          <w:bCs/>
          <w:noProof/>
          <w:sz w:val="22"/>
          <w:szCs w:val="22"/>
        </w:rPr>
      </w:pPr>
    </w:p>
    <w:p w14:paraId="0A0CDDEF" w14:textId="77777777" w:rsidR="004868C9" w:rsidRPr="004868C9" w:rsidRDefault="004868C9" w:rsidP="004868C9">
      <w:pPr>
        <w:pStyle w:val="ListParagraph"/>
        <w:numPr>
          <w:ilvl w:val="0"/>
          <w:numId w:val="3"/>
        </w:numPr>
        <w:spacing w:before="48" w:after="48"/>
        <w:rPr>
          <w:rFonts w:ascii="Open Sans" w:hAnsi="Open Sans" w:cs="Open Sans"/>
          <w:noProof/>
          <w:sz w:val="22"/>
          <w:szCs w:val="22"/>
        </w:rPr>
      </w:pPr>
      <w:r w:rsidRPr="004868C9">
        <w:rPr>
          <w:rFonts w:ascii="Open Sans" w:hAnsi="Open Sans" w:cs="Open Sans"/>
          <w:noProof/>
          <w:sz w:val="22"/>
          <w:szCs w:val="22"/>
        </w:rPr>
        <w:t>A more structured and formalised submission process involving three additional steps:</w:t>
      </w:r>
    </w:p>
    <w:p w14:paraId="2AAACDE7" w14:textId="77777777" w:rsidR="004868C9" w:rsidRPr="004868C9" w:rsidRDefault="004868C9" w:rsidP="004868C9">
      <w:pPr>
        <w:pStyle w:val="ListParagraph"/>
        <w:spacing w:before="48" w:after="48"/>
        <w:rPr>
          <w:rFonts w:ascii="Open Sans" w:hAnsi="Open Sans" w:cs="Open Sans"/>
          <w:noProof/>
          <w:sz w:val="22"/>
          <w:szCs w:val="22"/>
        </w:rPr>
      </w:pPr>
    </w:p>
    <w:p w14:paraId="75A9D39B" w14:textId="77777777" w:rsidR="004868C9" w:rsidRPr="004868C9" w:rsidRDefault="004868C9" w:rsidP="004868C9">
      <w:pPr>
        <w:pStyle w:val="ListParagraph"/>
        <w:numPr>
          <w:ilvl w:val="1"/>
          <w:numId w:val="3"/>
        </w:numPr>
        <w:spacing w:before="48" w:after="48"/>
        <w:rPr>
          <w:rFonts w:ascii="Open Sans" w:hAnsi="Open Sans" w:cs="Open Sans"/>
          <w:noProof/>
          <w:sz w:val="22"/>
          <w:szCs w:val="22"/>
        </w:rPr>
      </w:pPr>
      <w:r w:rsidRPr="004868C9">
        <w:rPr>
          <w:rFonts w:ascii="Open Sans" w:hAnsi="Open Sans" w:cs="Open Sans"/>
          <w:noProof/>
          <w:sz w:val="22"/>
          <w:szCs w:val="22"/>
        </w:rPr>
        <w:t>An ‘Expression of Interest’ step will give an indication of potential applications across the institution and facilitate liaison with local faculty Fellowship Champions</w:t>
      </w:r>
    </w:p>
    <w:p w14:paraId="0F27E676" w14:textId="77777777" w:rsidR="004868C9" w:rsidRPr="004868C9" w:rsidRDefault="004868C9" w:rsidP="004868C9">
      <w:pPr>
        <w:pStyle w:val="ListParagraph"/>
        <w:numPr>
          <w:ilvl w:val="1"/>
          <w:numId w:val="3"/>
        </w:numPr>
        <w:spacing w:before="48" w:after="48"/>
        <w:rPr>
          <w:rFonts w:ascii="Open Sans" w:hAnsi="Open Sans" w:cs="Open Sans"/>
          <w:noProof/>
          <w:sz w:val="22"/>
          <w:szCs w:val="22"/>
        </w:rPr>
      </w:pPr>
      <w:r w:rsidRPr="004868C9">
        <w:rPr>
          <w:rFonts w:ascii="Open Sans" w:hAnsi="Open Sans" w:cs="Open Sans"/>
          <w:noProof/>
          <w:sz w:val="22"/>
          <w:szCs w:val="22"/>
        </w:rPr>
        <w:t>An ‘Intention to Submit’ step should enable more efficient panel planning, and facilitate targeted applicant support</w:t>
      </w:r>
    </w:p>
    <w:p w14:paraId="08C0E7CE" w14:textId="77777777" w:rsidR="004868C9" w:rsidRPr="004868C9" w:rsidRDefault="004868C9" w:rsidP="004868C9">
      <w:pPr>
        <w:pStyle w:val="ListParagraph"/>
        <w:numPr>
          <w:ilvl w:val="1"/>
          <w:numId w:val="3"/>
        </w:numPr>
        <w:spacing w:before="48" w:after="48"/>
        <w:rPr>
          <w:rFonts w:ascii="Open Sans" w:hAnsi="Open Sans" w:cs="Open Sans"/>
          <w:noProof/>
          <w:sz w:val="22"/>
          <w:szCs w:val="22"/>
        </w:rPr>
      </w:pPr>
      <w:r w:rsidRPr="004868C9">
        <w:rPr>
          <w:rFonts w:ascii="Open Sans" w:hAnsi="Open Sans" w:cs="Open Sans"/>
          <w:noProof/>
          <w:sz w:val="22"/>
          <w:szCs w:val="22"/>
        </w:rPr>
        <w:t>A refreshed system of faculty Fellowship Champions, sponsored by Faculty Deans and/or Subject Leads to replace a less formal network of ‘mentors’ should enable more focused and localised support for applicants.  The applicants will liaise with faculty Fellowship Champions for a ‘faculty check’ which created direct support and guidance for individual applicants – it did prove to be more accessible than centralised support.</w:t>
      </w:r>
    </w:p>
    <w:p w14:paraId="6B898062" w14:textId="77777777" w:rsidR="004868C9" w:rsidRPr="004868C9" w:rsidRDefault="004868C9" w:rsidP="004868C9">
      <w:pPr>
        <w:spacing w:before="48" w:after="48"/>
        <w:rPr>
          <w:rFonts w:ascii="Open Sans" w:hAnsi="Open Sans" w:cs="Open Sans"/>
          <w:bCs/>
          <w:noProof/>
          <w:sz w:val="22"/>
          <w:szCs w:val="22"/>
        </w:rPr>
      </w:pPr>
    </w:p>
    <w:p w14:paraId="150F126F" w14:textId="77777777" w:rsidR="004868C9" w:rsidRPr="004868C9" w:rsidRDefault="004868C9" w:rsidP="004868C9">
      <w:pPr>
        <w:pStyle w:val="ListParagraph"/>
        <w:numPr>
          <w:ilvl w:val="0"/>
          <w:numId w:val="3"/>
        </w:numPr>
        <w:spacing w:before="48" w:after="48"/>
        <w:rPr>
          <w:rFonts w:ascii="Open Sans" w:hAnsi="Open Sans" w:cs="Open Sans"/>
          <w:noProof/>
          <w:sz w:val="22"/>
          <w:szCs w:val="22"/>
        </w:rPr>
      </w:pPr>
      <w:r w:rsidRPr="004868C9">
        <w:rPr>
          <w:rFonts w:ascii="Open Sans" w:hAnsi="Open Sans" w:cs="Open Sans"/>
          <w:noProof/>
          <w:sz w:val="22"/>
          <w:szCs w:val="22"/>
        </w:rPr>
        <w:t>New sources and forms of support and guidance introduced for 2021-22:</w:t>
      </w:r>
    </w:p>
    <w:p w14:paraId="7E42F646" w14:textId="77777777" w:rsidR="004868C9" w:rsidRPr="004868C9" w:rsidRDefault="004868C9" w:rsidP="004868C9">
      <w:pPr>
        <w:pStyle w:val="ListParagraph"/>
        <w:spacing w:before="48" w:after="48"/>
        <w:rPr>
          <w:rFonts w:ascii="Open Sans" w:hAnsi="Open Sans" w:cs="Open Sans"/>
          <w:noProof/>
          <w:sz w:val="22"/>
          <w:szCs w:val="22"/>
        </w:rPr>
      </w:pPr>
    </w:p>
    <w:p w14:paraId="69EEE658" w14:textId="77777777" w:rsidR="004868C9" w:rsidRPr="004868C9" w:rsidRDefault="004868C9" w:rsidP="004868C9">
      <w:pPr>
        <w:pStyle w:val="ListParagraph"/>
        <w:numPr>
          <w:ilvl w:val="1"/>
          <w:numId w:val="3"/>
        </w:numPr>
        <w:spacing w:before="48" w:after="48"/>
        <w:rPr>
          <w:rFonts w:ascii="Open Sans" w:hAnsi="Open Sans" w:cs="Open Sans"/>
          <w:noProof/>
          <w:sz w:val="22"/>
          <w:szCs w:val="22"/>
        </w:rPr>
      </w:pPr>
      <w:r w:rsidRPr="004868C9">
        <w:rPr>
          <w:rFonts w:ascii="Open Sans" w:hAnsi="Open Sans" w:cs="Open Sans"/>
          <w:noProof/>
          <w:sz w:val="22"/>
          <w:szCs w:val="22"/>
        </w:rPr>
        <w:t>As noted above, liaison with faculty Fellowship Champions and the expectation of a ‘faculty check’ should facilitated a point of direct support and guidance for individual applicants</w:t>
      </w:r>
    </w:p>
    <w:p w14:paraId="0D07B52F" w14:textId="77777777" w:rsidR="004868C9" w:rsidRPr="004868C9" w:rsidRDefault="004868C9" w:rsidP="004868C9">
      <w:pPr>
        <w:pStyle w:val="ListParagraph"/>
        <w:numPr>
          <w:ilvl w:val="1"/>
          <w:numId w:val="3"/>
        </w:numPr>
        <w:spacing w:before="48" w:after="48"/>
        <w:rPr>
          <w:rFonts w:ascii="Open Sans" w:hAnsi="Open Sans" w:cs="Open Sans"/>
          <w:noProof/>
          <w:sz w:val="22"/>
          <w:szCs w:val="22"/>
        </w:rPr>
      </w:pPr>
      <w:r w:rsidRPr="004868C9">
        <w:rPr>
          <w:rFonts w:ascii="Open Sans" w:hAnsi="Open Sans" w:cs="Open Sans"/>
          <w:noProof/>
          <w:sz w:val="22"/>
          <w:szCs w:val="22"/>
        </w:rPr>
        <w:t xml:space="preserve">A stronger profile for the Fellowship Writing Support Resource ensured that more staff took advantage of this resource. </w:t>
      </w:r>
    </w:p>
    <w:p w14:paraId="7BBE7F2C" w14:textId="77777777" w:rsidR="004868C9" w:rsidRPr="004868C9" w:rsidRDefault="004868C9" w:rsidP="004868C9">
      <w:pPr>
        <w:pStyle w:val="ListParagraph"/>
        <w:numPr>
          <w:ilvl w:val="1"/>
          <w:numId w:val="3"/>
        </w:numPr>
        <w:spacing w:before="48" w:after="48"/>
        <w:rPr>
          <w:rFonts w:ascii="Open Sans" w:hAnsi="Open Sans" w:cs="Open Sans"/>
          <w:noProof/>
          <w:sz w:val="22"/>
          <w:szCs w:val="22"/>
        </w:rPr>
      </w:pPr>
      <w:r w:rsidRPr="004868C9">
        <w:rPr>
          <w:rFonts w:ascii="Open Sans" w:hAnsi="Open Sans" w:cs="Open Sans"/>
          <w:noProof/>
          <w:sz w:val="22"/>
          <w:szCs w:val="22"/>
        </w:rPr>
        <w:t xml:space="preserve">New Fellowship Peer Support Circles (at AF/F and at SF) fostered mutual support amongst applicants and broad-based access to a consistent source of focused support. </w:t>
      </w:r>
    </w:p>
    <w:p w14:paraId="26FBDCDF" w14:textId="5621B68A" w:rsidR="000B127C" w:rsidRPr="004868C9" w:rsidRDefault="004868C9" w:rsidP="004868C9">
      <w:pPr>
        <w:rPr>
          <w:rFonts w:eastAsiaTheme="majorEastAsia" w:cs="Arial"/>
          <w:b/>
          <w:sz w:val="26"/>
          <w:szCs w:val="26"/>
          <w:lang w:val="en-US"/>
        </w:rPr>
      </w:pPr>
      <w:r w:rsidRPr="004868C9">
        <w:rPr>
          <w:rFonts w:ascii="Open Sans" w:hAnsi="Open Sans" w:cs="Open Sans"/>
          <w:noProof/>
          <w:sz w:val="20"/>
          <w:szCs w:val="20"/>
          <w:lang w:eastAsia="en-GB"/>
        </w:rPr>
        <w:t>*Note: Unfortunately due to staff changes and approaches to recording data the success at first attempt data is currently unavailable. This will be rectified as soon as possible.</w:t>
      </w:r>
    </w:p>
    <w:p w14:paraId="27551EDF" w14:textId="77777777" w:rsidR="007A32C8" w:rsidRPr="004868C9" w:rsidRDefault="007A32C8">
      <w:pPr>
        <w:spacing w:after="160" w:line="259" w:lineRule="auto"/>
        <w:rPr>
          <w:rFonts w:eastAsiaTheme="majorEastAsia" w:cs="Arial"/>
          <w:b/>
          <w:sz w:val="28"/>
          <w:szCs w:val="28"/>
          <w:lang w:val="en-US"/>
        </w:rPr>
      </w:pPr>
      <w:r w:rsidRPr="004868C9">
        <w:rPr>
          <w:rFonts w:eastAsiaTheme="majorEastAsia" w:cs="Arial"/>
          <w:b/>
          <w:sz w:val="28"/>
          <w:szCs w:val="28"/>
          <w:lang w:val="en-US"/>
        </w:rPr>
        <w:br w:type="page"/>
      </w:r>
    </w:p>
    <w:p w14:paraId="078E0BE9" w14:textId="77777777" w:rsidR="007A32C8" w:rsidRPr="004868C9" w:rsidRDefault="007A32C8" w:rsidP="007A32C8">
      <w:pPr>
        <w:keepNext/>
        <w:keepLines/>
        <w:spacing w:before="40" w:after="220"/>
        <w:outlineLvl w:val="1"/>
        <w:rPr>
          <w:rFonts w:eastAsiaTheme="majorEastAsia" w:cs="Arial"/>
          <w:b/>
          <w:sz w:val="28"/>
          <w:szCs w:val="28"/>
          <w:lang w:val="en-US"/>
        </w:rPr>
      </w:pPr>
      <w:r w:rsidRPr="004868C9">
        <w:rPr>
          <w:rFonts w:eastAsiaTheme="majorEastAsia" w:cs="Arial"/>
          <w:b/>
          <w:sz w:val="28"/>
          <w:szCs w:val="28"/>
          <w:lang w:val="en-US"/>
        </w:rPr>
        <w:lastRenderedPageBreak/>
        <w:t xml:space="preserve">Section 2: </w:t>
      </w:r>
      <w:r w:rsidRPr="004868C9">
        <w:rPr>
          <w:rFonts w:cs="Arial"/>
          <w:b/>
          <w:sz w:val="28"/>
          <w:szCs w:val="28"/>
        </w:rPr>
        <w:t xml:space="preserve">Strategic impact of Advance HE accredited provision </w:t>
      </w:r>
    </w:p>
    <w:p w14:paraId="6F6B9447" w14:textId="77777777" w:rsidR="007A32C8" w:rsidRPr="004868C9" w:rsidRDefault="007A32C8" w:rsidP="007A32C8">
      <w:pPr>
        <w:pStyle w:val="HEAHeading3"/>
        <w:jc w:val="both"/>
        <w:rPr>
          <w:rFonts w:cs="Arial"/>
          <w:color w:val="000000" w:themeColor="text1"/>
          <w:sz w:val="26"/>
          <w:szCs w:val="26"/>
          <w:lang w:val="en-GB"/>
        </w:rPr>
      </w:pPr>
      <w:r w:rsidRPr="004868C9">
        <w:rPr>
          <w:rFonts w:cs="Arial"/>
          <w:color w:val="000000" w:themeColor="text1"/>
          <w:sz w:val="26"/>
          <w:szCs w:val="26"/>
          <w:lang w:val="en-GB"/>
        </w:rPr>
        <w:t>Section 2 Part a: Institutional strategic impact</w:t>
      </w:r>
    </w:p>
    <w:tbl>
      <w:tblPr>
        <w:tblStyle w:val="TableGrid"/>
        <w:tblW w:w="9782" w:type="dxa"/>
        <w:tblInd w:w="-431" w:type="dxa"/>
        <w:tblLook w:val="04A0" w:firstRow="1" w:lastRow="0" w:firstColumn="1" w:lastColumn="0" w:noHBand="0" w:noVBand="1"/>
      </w:tblPr>
      <w:tblGrid>
        <w:gridCol w:w="9782"/>
      </w:tblGrid>
      <w:tr w:rsidR="004868C9" w:rsidRPr="004868C9" w14:paraId="44FEFE1E" w14:textId="77777777" w:rsidTr="004868C9">
        <w:trPr>
          <w:trHeight w:val="680"/>
        </w:trPr>
        <w:tc>
          <w:tcPr>
            <w:tcW w:w="9782" w:type="dxa"/>
            <w:shd w:val="clear" w:color="auto" w:fill="FFFFFF" w:themeFill="background1"/>
            <w:vAlign w:val="center"/>
          </w:tcPr>
          <w:p w14:paraId="41483036" w14:textId="77777777" w:rsidR="007A32C8" w:rsidRDefault="007A32C8" w:rsidP="00A85DEF">
            <w:pPr>
              <w:pStyle w:val="BodyText"/>
              <w:spacing w:before="13" w:line="250" w:lineRule="auto"/>
              <w:rPr>
                <w:color w:val="000000" w:themeColor="text1"/>
                <w:sz w:val="24"/>
                <w:szCs w:val="24"/>
                <w:lang w:val="en-GB"/>
              </w:rPr>
            </w:pPr>
            <w:r w:rsidRPr="004868C9">
              <w:rPr>
                <w:color w:val="000000" w:themeColor="text1"/>
                <w:sz w:val="24"/>
                <w:szCs w:val="24"/>
                <w:lang w:val="en-GB"/>
              </w:rPr>
              <w:t xml:space="preserve">This section should be completed by a DVC/PVC (or equivalent) with responsibility for the strategic leadership of learning and teaching at your institution. Please comment on how/ the extent to which fellowship and accreditation have enhanced teaching and learning at an institutional level and impacted on student learning/ outcomes (please refer to the guidance for further information). </w:t>
            </w:r>
          </w:p>
          <w:p w14:paraId="6A869835" w14:textId="77777777" w:rsidR="004868C9" w:rsidRDefault="004868C9" w:rsidP="00A85DEF">
            <w:pPr>
              <w:pStyle w:val="BodyText"/>
              <w:spacing w:before="13" w:line="250" w:lineRule="auto"/>
              <w:rPr>
                <w:color w:val="000000" w:themeColor="text1"/>
                <w:sz w:val="24"/>
                <w:szCs w:val="24"/>
              </w:rPr>
            </w:pPr>
          </w:p>
          <w:p w14:paraId="0D244F33" w14:textId="448C02E6" w:rsidR="004868C9" w:rsidRPr="004868C9" w:rsidRDefault="004868C9" w:rsidP="00A85DEF">
            <w:pPr>
              <w:pStyle w:val="BodyText"/>
              <w:spacing w:before="13" w:line="250" w:lineRule="auto"/>
              <w:rPr>
                <w:color w:val="000000" w:themeColor="text1"/>
                <w:sz w:val="24"/>
                <w:szCs w:val="24"/>
              </w:rPr>
            </w:pPr>
            <w:r>
              <w:rPr>
                <w:color w:val="000000" w:themeColor="text1"/>
                <w:sz w:val="24"/>
                <w:szCs w:val="24"/>
              </w:rPr>
              <w:t xml:space="preserve">Name: </w:t>
            </w:r>
            <w:r w:rsidRPr="004868C9">
              <w:rPr>
                <w:rFonts w:ascii="Open Sans" w:hAnsi="Open Sans" w:cs="Open Sans"/>
                <w:color w:val="000000" w:themeColor="text1"/>
                <w:sz w:val="24"/>
                <w:szCs w:val="24"/>
                <w:lang w:val="en-GB"/>
              </w:rPr>
              <w:t>Shan Wareing</w:t>
            </w:r>
            <w:r>
              <w:rPr>
                <w:rFonts w:ascii="Open Sans" w:hAnsi="Open Sans" w:cs="Open Sans"/>
                <w:color w:val="000000" w:themeColor="text1"/>
                <w:sz w:val="24"/>
                <w:szCs w:val="24"/>
                <w:lang w:val="en-GB"/>
              </w:rPr>
              <w:t xml:space="preserve"> Role: </w:t>
            </w:r>
            <w:r w:rsidRPr="004868C9">
              <w:rPr>
                <w:rFonts w:ascii="Open Sans" w:hAnsi="Open Sans" w:cs="Open Sans"/>
                <w:color w:val="000000" w:themeColor="text1"/>
                <w:sz w:val="24"/>
                <w:szCs w:val="24"/>
                <w:lang w:val="en-GB"/>
              </w:rPr>
              <w:t>Deputy Vice Chancellor</w:t>
            </w:r>
          </w:p>
        </w:tc>
      </w:tr>
      <w:tr w:rsidR="004868C9" w:rsidRPr="004868C9" w14:paraId="0B9334D2" w14:textId="77777777" w:rsidTr="00D57DA7">
        <w:trPr>
          <w:trHeight w:val="4535"/>
        </w:trPr>
        <w:tc>
          <w:tcPr>
            <w:tcW w:w="9782" w:type="dxa"/>
          </w:tcPr>
          <w:p w14:paraId="123A9BD0" w14:textId="152B6297" w:rsidR="00B14FD2" w:rsidRPr="004868C9" w:rsidRDefault="00B14FD2" w:rsidP="002A0654">
            <w:pPr>
              <w:pStyle w:val="NormalWeb"/>
              <w:jc w:val="both"/>
              <w:rPr>
                <w:rFonts w:ascii="Open Sans" w:hAnsi="Open Sans" w:cs="Open Sans"/>
                <w:color w:val="000000" w:themeColor="text1"/>
                <w:sz w:val="22"/>
                <w:szCs w:val="22"/>
              </w:rPr>
            </w:pPr>
            <w:r w:rsidRPr="004868C9">
              <w:rPr>
                <w:rFonts w:ascii="Open Sans" w:hAnsi="Open Sans" w:cs="Open Sans"/>
                <w:color w:val="000000" w:themeColor="text1"/>
                <w:sz w:val="22"/>
                <w:szCs w:val="22"/>
              </w:rPr>
              <w:t xml:space="preserve">Within the University of Northampton, we have alignment of HEA fellowship awards to probation policies, together with some alignment of fellowship awards to promotion.  Most notably, achievement of SFHEA is aligned within the criteria for the Learning &amp; Teaching route to Associate Professor, to date there are now five Associate Professors in Learning and Teaching. </w:t>
            </w:r>
          </w:p>
          <w:p w14:paraId="6D783CB9" w14:textId="77777777" w:rsidR="00B14FD2" w:rsidRPr="004868C9" w:rsidRDefault="00B14FD2" w:rsidP="002A0654">
            <w:pPr>
              <w:pStyle w:val="NormalWeb"/>
              <w:jc w:val="both"/>
              <w:rPr>
                <w:rFonts w:ascii="Open Sans" w:hAnsi="Open Sans" w:cs="Open Sans"/>
                <w:color w:val="000000" w:themeColor="text1"/>
                <w:sz w:val="22"/>
                <w:szCs w:val="22"/>
              </w:rPr>
            </w:pPr>
            <w:r w:rsidRPr="004868C9">
              <w:rPr>
                <w:rFonts w:ascii="Open Sans" w:hAnsi="Open Sans" w:cs="Open Sans"/>
                <w:color w:val="000000" w:themeColor="text1"/>
                <w:sz w:val="22"/>
                <w:szCs w:val="22"/>
              </w:rPr>
              <w:t>The institution has long-established KPIs for HEA Fellowships (and other TQUALS), which provides an indicator to staff of the importance of teaching, and of recognition for teaching, in line with international benchmarks through the PSF.  A challenge going forward into the next period of accreditation beyond 2024 will be to encourage staff to see the benefit of engaging in academic development for purposes of enhancement of practice over and above ‘getting the badge’ through the award of Fellowship.</w:t>
            </w:r>
          </w:p>
          <w:p w14:paraId="38BE6DF5" w14:textId="77777777" w:rsidR="00B14FD2" w:rsidRPr="004868C9" w:rsidRDefault="00B14FD2" w:rsidP="002A0654">
            <w:pPr>
              <w:pStyle w:val="NormalWeb"/>
              <w:jc w:val="both"/>
              <w:rPr>
                <w:rFonts w:ascii="Open Sans" w:hAnsi="Open Sans" w:cs="Open Sans"/>
                <w:color w:val="000000" w:themeColor="text1"/>
                <w:sz w:val="22"/>
                <w:szCs w:val="22"/>
              </w:rPr>
            </w:pPr>
            <w:r w:rsidRPr="004868C9">
              <w:rPr>
                <w:rFonts w:ascii="Open Sans" w:hAnsi="Open Sans" w:cs="Open Sans"/>
                <w:color w:val="000000" w:themeColor="text1"/>
                <w:sz w:val="22"/>
                <w:szCs w:val="22"/>
              </w:rPr>
              <w:t>Other benefits deriving from accreditation include the personal reward and professional satisfaction that Fellowship can provides for individuals.  Within an institution that has a relatively flat structure, SFHEA offers staff a focused opportunity to stand back and reflect on the achievements within their career, the impact they have had on other colleagues and the contribution they have made to the enhancement of the student experience.  The accredited provision also offers ongoing professional development opportunities for staff to contribute to C@N-DO and to the institution.  This includes engagement as Mentors (now termed Fellowship Champions – currently 28 in number - 25 Faculty-based and 3 in ‘central’ units) or as assessment panel members (12 in number – 10 Faculty-based and 2 in ‘central’ unit).  Over and above this, the nature of the provision enables experienced staff to contribute directly to the professional development of colleagues.  Whilst the scheme is managed centrally by the Head of Academic Practice, Faculty academics make an essential contribution to leading workshops within the accredited scheme (19 Faculty academics facilitate at least one C@N-DO workshop, as do 10 staff from ‘central’ units.)</w:t>
            </w:r>
          </w:p>
          <w:p w14:paraId="7C8D2771" w14:textId="77777777" w:rsidR="00B14FD2" w:rsidRPr="004868C9" w:rsidRDefault="00B14FD2" w:rsidP="002A0654">
            <w:pPr>
              <w:pStyle w:val="NormalWeb"/>
              <w:jc w:val="both"/>
              <w:rPr>
                <w:rFonts w:ascii="Open Sans" w:hAnsi="Open Sans" w:cs="Open Sans"/>
                <w:color w:val="000000" w:themeColor="text1"/>
                <w:sz w:val="22"/>
                <w:szCs w:val="22"/>
              </w:rPr>
            </w:pPr>
            <w:r w:rsidRPr="004868C9">
              <w:rPr>
                <w:rFonts w:ascii="Open Sans" w:hAnsi="Open Sans" w:cs="Open Sans"/>
                <w:color w:val="000000" w:themeColor="text1"/>
                <w:sz w:val="22"/>
                <w:szCs w:val="22"/>
              </w:rPr>
              <w:t>The design of the accredited scheme has also, from the start, taken advantage of the scope that accreditation offers to design provision in line with institutional needs and priorities and to act as a driver in working towards institutional goals.  When first established, the accredited provision was designed specifically to target several institutional priorities.</w:t>
            </w:r>
          </w:p>
          <w:p w14:paraId="4E2F1947" w14:textId="77777777" w:rsidR="00B14FD2" w:rsidRPr="004868C9" w:rsidRDefault="00B14FD2" w:rsidP="002A0654">
            <w:pPr>
              <w:pStyle w:val="NormalWeb"/>
              <w:jc w:val="both"/>
              <w:rPr>
                <w:rFonts w:ascii="Open Sans" w:hAnsi="Open Sans" w:cs="Open Sans"/>
                <w:color w:val="000000" w:themeColor="text1"/>
                <w:sz w:val="22"/>
                <w:szCs w:val="22"/>
              </w:rPr>
            </w:pPr>
            <w:r w:rsidRPr="004868C9">
              <w:rPr>
                <w:rFonts w:ascii="Open Sans" w:hAnsi="Open Sans" w:cs="Open Sans"/>
                <w:color w:val="000000" w:themeColor="text1"/>
                <w:sz w:val="22"/>
                <w:szCs w:val="22"/>
              </w:rPr>
              <w:t xml:space="preserve">The original planning of C@N-DO was aimed to support curricular re-design towards the institutional move to the new ‘Waterside Campus’ and the adoption of ‘Active Blended Learning’ (ABL) as institutional pedagogy and teaching.  This goal was embedded in the </w:t>
            </w:r>
            <w:r w:rsidRPr="004868C9">
              <w:rPr>
                <w:rFonts w:ascii="Open Sans" w:hAnsi="Open Sans" w:cs="Open Sans"/>
                <w:color w:val="000000" w:themeColor="text1"/>
                <w:sz w:val="22"/>
                <w:szCs w:val="22"/>
              </w:rPr>
              <w:lastRenderedPageBreak/>
              <w:t>accredited provision through provision of targeted workshops focusing on design + planning [UKPSF A1], technology use [K4] + active student engagement [V2], and the inclusion of critical analysis of own course provision as a core element of assessment for AFHEA/FHEA.  This focus was consolidated by the establishment of the main workshop intervention, team ‘CAIeROs’, as a core element of the quality process, ensuring engagement by a significant proportion of the academic staff body, something which has been seen within Fellowship applications.  So too, period of re-design and introduction of active learning methods, including via digital technologies, can be seen as having provided a strong foundation for the online pivot resulting from the pandemic and the subsequent “back to campus” approach in 2021-22.</w:t>
            </w:r>
            <w:r w:rsidRPr="004868C9">
              <w:rPr>
                <w:rFonts w:ascii="Open Sans" w:hAnsi="Open Sans" w:cs="Open Sans"/>
                <w:color w:val="000000" w:themeColor="text1"/>
              </w:rPr>
              <w:t xml:space="preserve"> </w:t>
            </w:r>
            <w:r w:rsidRPr="004868C9">
              <w:rPr>
                <w:rFonts w:ascii="Open Sans" w:hAnsi="Open Sans" w:cs="Open Sans"/>
                <w:color w:val="000000" w:themeColor="text1"/>
                <w:sz w:val="22"/>
                <w:szCs w:val="22"/>
              </w:rPr>
              <w:t xml:space="preserve">  </w:t>
            </w:r>
            <w:r w:rsidRPr="004868C9">
              <w:rPr>
                <w:rFonts w:ascii="Open Sans" w:hAnsi="Open Sans" w:cs="Open Sans"/>
                <w:color w:val="000000" w:themeColor="text1"/>
              </w:rPr>
              <w:t xml:space="preserve"> </w:t>
            </w:r>
            <w:r w:rsidRPr="004868C9">
              <w:rPr>
                <w:rFonts w:ascii="Open Sans" w:hAnsi="Open Sans" w:cs="Open Sans"/>
                <w:color w:val="000000" w:themeColor="text1"/>
                <w:sz w:val="22"/>
                <w:szCs w:val="22"/>
              </w:rPr>
              <w:t xml:space="preserve"> </w:t>
            </w:r>
          </w:p>
          <w:p w14:paraId="7FE9A31D" w14:textId="77777777" w:rsidR="00B14FD2" w:rsidRPr="004868C9" w:rsidRDefault="00B14FD2" w:rsidP="002A0654">
            <w:pPr>
              <w:pStyle w:val="NormalWeb"/>
              <w:jc w:val="both"/>
              <w:rPr>
                <w:rFonts w:ascii="Open Sans" w:hAnsi="Open Sans" w:cs="Open Sans"/>
                <w:color w:val="000000" w:themeColor="text1"/>
                <w:sz w:val="22"/>
                <w:szCs w:val="22"/>
              </w:rPr>
            </w:pPr>
            <w:r w:rsidRPr="004868C9">
              <w:rPr>
                <w:rFonts w:ascii="Open Sans" w:hAnsi="Open Sans" w:cs="Open Sans"/>
                <w:color w:val="000000" w:themeColor="text1"/>
                <w:sz w:val="22"/>
                <w:szCs w:val="22"/>
              </w:rPr>
              <w:t xml:space="preserve">It was identified that the goal of curricular re-design towards ‘Waterside’ and ‘ABL’ brought an imperative of inclusive CPD opportunities to be available across the whole staff body, not only to those who are new-to-teaching, or pre-FHEA.  This imperative underpinned the inclusive and flexible nature of the CPD scheme, with academic development offered as centrally provided workshops which can also be arranged on a subject- or programme-team basis.  Data are still being collated and analysed, but indications are that success has been mixed. However, whilst this represents engagement by c.34% of core staff, engagement of Associate Lecturers stands at only 8% and per person engagement was low.  When available, data aligning levels of engagement to career stage are likely to indicate poor engagement amongst more experienced staff, suggesting a new imperative for the 2024 re-design. </w:t>
            </w:r>
          </w:p>
          <w:p w14:paraId="41238612" w14:textId="77777777" w:rsidR="00B14FD2" w:rsidRPr="004868C9" w:rsidRDefault="00B14FD2" w:rsidP="002A0654">
            <w:pPr>
              <w:pStyle w:val="NormalWeb"/>
              <w:jc w:val="both"/>
              <w:rPr>
                <w:rFonts w:ascii="Open Sans" w:hAnsi="Open Sans" w:cs="Open Sans"/>
                <w:color w:val="000000" w:themeColor="text1"/>
                <w:sz w:val="22"/>
                <w:szCs w:val="22"/>
              </w:rPr>
            </w:pPr>
            <w:r w:rsidRPr="004868C9">
              <w:rPr>
                <w:rFonts w:ascii="Open Sans" w:hAnsi="Open Sans" w:cs="Open Sans"/>
                <w:color w:val="000000" w:themeColor="text1"/>
                <w:sz w:val="22"/>
                <w:szCs w:val="22"/>
              </w:rPr>
              <w:t xml:space="preserve">A third goal underpinning the original planning of C@N-DO was the embedding of a newly established, developmentally focused, structured peer observation scheme.  This was embedded in the accredited provision through the incorporation of Peer Observation within the assessment for all three categories of Fellowship provided by C@N-DO.  Applicants for AFHEA and FHEA must reflect on learning gained through being observed, and applicants for SFHEA on their own support for less-experienced colleagues by observing them and helping them to enhance their practice.  Anecdotal indications do suggest that integrating POT within Fellowship assessment contributed effectively to the embedding of the 2014 Peer Observation COP where a consistent approach had been missing for several years.  Records on engagement beyond Fellowship applications are not kept, but indications suggest that peer observation is now established practice within many Subject areas, for sharing of good practice, and as a tool for team development and cohesion.  </w:t>
            </w:r>
          </w:p>
          <w:p w14:paraId="29CBD410" w14:textId="0ADB482B" w:rsidR="00B14FD2" w:rsidRPr="004868C9" w:rsidRDefault="00B14FD2" w:rsidP="002A0654">
            <w:pPr>
              <w:tabs>
                <w:tab w:val="left" w:pos="624"/>
              </w:tabs>
              <w:jc w:val="both"/>
              <w:rPr>
                <w:rFonts w:cs="Arial"/>
                <w:szCs w:val="22"/>
              </w:rPr>
            </w:pPr>
            <w:r w:rsidRPr="004868C9">
              <w:rPr>
                <w:rFonts w:ascii="Open Sans" w:hAnsi="Open Sans" w:cs="Open Sans"/>
                <w:sz w:val="22"/>
                <w:szCs w:val="22"/>
              </w:rPr>
              <w:t>There have therefore been a few ways in which the accredited provision has contributed to support priorities and strategy around teaching and learning at institutional level over the years since the inception of C@N-DO.  However, success has been mixed, and new highly pressing institutional priorities will be addressed through the process of re-design for submission in 2024. In particular, the key issue to be addressed is that of diversity, and engaging staff in changes to learning and teaching to address identified award gaps.  Strategies will be needed to involve staff in development beyond solely ‘getting the badge’ of Fellowship, to develop better provision for experienced staff and to better use the expertise of Senior and Principal Fellows to support and lead the initiatives established in line with institutional strategy and priorities for the coming 4-5 years.</w:t>
            </w:r>
          </w:p>
        </w:tc>
      </w:tr>
    </w:tbl>
    <w:p w14:paraId="295E08F3" w14:textId="77777777" w:rsidR="007A32C8" w:rsidRPr="004868C9" w:rsidRDefault="007A32C8" w:rsidP="007A32C8">
      <w:pPr>
        <w:keepNext/>
        <w:keepLines/>
        <w:spacing w:before="200" w:after="220"/>
        <w:jc w:val="both"/>
        <w:outlineLvl w:val="2"/>
        <w:rPr>
          <w:rFonts w:eastAsiaTheme="majorEastAsia" w:cs="Arial"/>
          <w:b/>
          <w:bCs/>
          <w:sz w:val="26"/>
          <w:szCs w:val="26"/>
        </w:rPr>
      </w:pPr>
      <w:r w:rsidRPr="004868C9">
        <w:rPr>
          <w:rFonts w:eastAsiaTheme="majorEastAsia" w:cs="Arial"/>
          <w:b/>
          <w:bCs/>
          <w:sz w:val="26"/>
          <w:szCs w:val="26"/>
        </w:rPr>
        <w:lastRenderedPageBreak/>
        <w:t xml:space="preserve">Section 2 Part b: Evaluating impact of fellowship and accreditation on institution, </w:t>
      </w:r>
      <w:proofErr w:type="gramStart"/>
      <w:r w:rsidRPr="004868C9">
        <w:rPr>
          <w:rFonts w:eastAsiaTheme="majorEastAsia" w:cs="Arial"/>
          <w:b/>
          <w:bCs/>
          <w:sz w:val="26"/>
          <w:szCs w:val="26"/>
        </w:rPr>
        <w:t>staff</w:t>
      </w:r>
      <w:proofErr w:type="gramEnd"/>
      <w:r w:rsidRPr="004868C9">
        <w:rPr>
          <w:rFonts w:eastAsiaTheme="majorEastAsia" w:cs="Arial"/>
          <w:b/>
          <w:bCs/>
          <w:sz w:val="26"/>
          <w:szCs w:val="26"/>
        </w:rPr>
        <w:t xml:space="preserve"> and students</w:t>
      </w:r>
    </w:p>
    <w:tbl>
      <w:tblPr>
        <w:tblStyle w:val="TableGrid3"/>
        <w:tblW w:w="9782" w:type="dxa"/>
        <w:tblInd w:w="-431" w:type="dxa"/>
        <w:tblLook w:val="04A0" w:firstRow="1" w:lastRow="0" w:firstColumn="1" w:lastColumn="0" w:noHBand="0" w:noVBand="1"/>
      </w:tblPr>
      <w:tblGrid>
        <w:gridCol w:w="9782"/>
      </w:tblGrid>
      <w:tr w:rsidR="004868C9" w:rsidRPr="004868C9" w14:paraId="2686FDB7" w14:textId="77777777" w:rsidTr="004868C9">
        <w:trPr>
          <w:trHeight w:val="680"/>
        </w:trPr>
        <w:tc>
          <w:tcPr>
            <w:tcW w:w="9782" w:type="dxa"/>
            <w:shd w:val="clear" w:color="auto" w:fill="FFFFFF" w:themeFill="background1"/>
            <w:vAlign w:val="center"/>
          </w:tcPr>
          <w:p w14:paraId="178A0FA5" w14:textId="77777777" w:rsidR="007A32C8" w:rsidRPr="004868C9" w:rsidRDefault="007A32C8" w:rsidP="00A85DEF">
            <w:pPr>
              <w:rPr>
                <w:rFonts w:eastAsia="Arial"/>
              </w:rPr>
            </w:pPr>
            <w:r w:rsidRPr="004868C9">
              <w:rPr>
                <w:rFonts w:eastAsia="Arial"/>
              </w:rPr>
              <w:t>P</w:t>
            </w:r>
            <w:r w:rsidRPr="004868C9">
              <w:t xml:space="preserve">lease comment on how the institution is evaluating the impact of the accredited scheme and fellowship </w:t>
            </w:r>
          </w:p>
        </w:tc>
      </w:tr>
      <w:tr w:rsidR="004868C9" w:rsidRPr="004868C9" w14:paraId="255E8027" w14:textId="77777777" w:rsidTr="00614503">
        <w:trPr>
          <w:trHeight w:val="1681"/>
        </w:trPr>
        <w:tc>
          <w:tcPr>
            <w:tcW w:w="9782" w:type="dxa"/>
          </w:tcPr>
          <w:p w14:paraId="24B86F2D" w14:textId="77777777" w:rsidR="00B14FD2" w:rsidRPr="004868C9" w:rsidRDefault="00B14FD2" w:rsidP="00B14FD2">
            <w:pPr>
              <w:rPr>
                <w:rFonts w:ascii="Open Sans" w:hAnsi="Open Sans" w:cs="Open Sans"/>
                <w:sz w:val="22"/>
                <w:szCs w:val="22"/>
              </w:rPr>
            </w:pPr>
            <w:r w:rsidRPr="004868C9">
              <w:rPr>
                <w:rFonts w:ascii="Open Sans" w:hAnsi="Open Sans" w:cs="Open Sans"/>
                <w:sz w:val="22"/>
                <w:szCs w:val="22"/>
              </w:rPr>
              <w:t>Standard evaluation of the impact of the accredited scheme includes the following elements:</w:t>
            </w:r>
          </w:p>
          <w:p w14:paraId="528DD54F" w14:textId="77777777" w:rsidR="00B14FD2" w:rsidRPr="004868C9" w:rsidRDefault="00B14FD2" w:rsidP="00B14FD2">
            <w:pPr>
              <w:rPr>
                <w:rFonts w:ascii="Open Sans" w:hAnsi="Open Sans" w:cs="Open Sans"/>
                <w:sz w:val="22"/>
                <w:szCs w:val="22"/>
              </w:rPr>
            </w:pPr>
          </w:p>
          <w:p w14:paraId="263D07E0" w14:textId="77777777" w:rsidR="00B14FD2" w:rsidRPr="004868C9" w:rsidRDefault="00B14FD2" w:rsidP="00B14FD2">
            <w:pPr>
              <w:pStyle w:val="ListParagraph"/>
              <w:numPr>
                <w:ilvl w:val="0"/>
                <w:numId w:val="4"/>
              </w:numPr>
              <w:rPr>
                <w:rFonts w:ascii="Open Sans" w:hAnsi="Open Sans" w:cs="Open Sans"/>
                <w:sz w:val="22"/>
                <w:szCs w:val="22"/>
              </w:rPr>
            </w:pPr>
            <w:r w:rsidRPr="004868C9">
              <w:rPr>
                <w:rFonts w:ascii="Open Sans" w:hAnsi="Open Sans" w:cs="Open Sans"/>
                <w:sz w:val="22"/>
                <w:szCs w:val="22"/>
              </w:rPr>
              <w:t xml:space="preserve">An annual watching brief on numbers of HEA Fellowships (and TQUALS more broadly), to monitor progression against institutional KPIs for attainment of Fellowships and TQUALS more generally; year by year targets have increasingly been devolved down to Subject Leads to promote engagement amongst team members </w:t>
            </w:r>
          </w:p>
          <w:p w14:paraId="0E63DD7E" w14:textId="77777777" w:rsidR="00B14FD2" w:rsidRPr="004868C9" w:rsidRDefault="00B14FD2" w:rsidP="00B14FD2">
            <w:pPr>
              <w:pStyle w:val="ListParagraph"/>
              <w:numPr>
                <w:ilvl w:val="1"/>
                <w:numId w:val="4"/>
              </w:numPr>
              <w:rPr>
                <w:rFonts w:ascii="Open Sans" w:hAnsi="Open Sans" w:cs="Open Sans"/>
                <w:sz w:val="22"/>
                <w:szCs w:val="22"/>
              </w:rPr>
            </w:pPr>
            <w:r w:rsidRPr="004868C9">
              <w:rPr>
                <w:rFonts w:ascii="Open Sans" w:hAnsi="Open Sans" w:cs="Open Sans"/>
                <w:sz w:val="22"/>
                <w:szCs w:val="22"/>
              </w:rPr>
              <w:t xml:space="preserve">Effectiveness/limitations of this approach: </w:t>
            </w:r>
          </w:p>
          <w:p w14:paraId="2834D855" w14:textId="77777777" w:rsidR="00B14FD2" w:rsidRPr="004868C9" w:rsidRDefault="00B14FD2" w:rsidP="00B14FD2">
            <w:pPr>
              <w:pStyle w:val="ListParagraph"/>
              <w:numPr>
                <w:ilvl w:val="2"/>
                <w:numId w:val="4"/>
              </w:numPr>
              <w:rPr>
                <w:rFonts w:ascii="Open Sans" w:hAnsi="Open Sans" w:cs="Open Sans"/>
                <w:sz w:val="22"/>
                <w:szCs w:val="22"/>
              </w:rPr>
            </w:pPr>
            <w:r w:rsidRPr="004868C9">
              <w:rPr>
                <w:rFonts w:ascii="Open Sans" w:hAnsi="Open Sans" w:cs="Open Sans"/>
                <w:sz w:val="22"/>
                <w:szCs w:val="22"/>
              </w:rPr>
              <w:t>A positive impact of devolved responsibility and analysis has been a broader ownership of the issue of professional recognition, and the opportunity for support and drive at subject level</w:t>
            </w:r>
          </w:p>
          <w:p w14:paraId="0E5BF924" w14:textId="77777777" w:rsidR="00B14FD2" w:rsidRPr="004868C9" w:rsidRDefault="00B14FD2" w:rsidP="00B14FD2">
            <w:pPr>
              <w:pStyle w:val="ListParagraph"/>
              <w:numPr>
                <w:ilvl w:val="2"/>
                <w:numId w:val="4"/>
              </w:numPr>
              <w:rPr>
                <w:rFonts w:ascii="Open Sans" w:hAnsi="Open Sans" w:cs="Open Sans"/>
                <w:sz w:val="22"/>
                <w:szCs w:val="22"/>
              </w:rPr>
            </w:pPr>
            <w:r w:rsidRPr="004868C9">
              <w:rPr>
                <w:rFonts w:ascii="Open Sans" w:hAnsi="Open Sans" w:cs="Open Sans"/>
                <w:sz w:val="22"/>
                <w:szCs w:val="22"/>
              </w:rPr>
              <w:t>One limitation of the institutional KPI for Fellowships is that records of workshop participation suggest a tendency to prioritise workshops perceived as contributing directly to ‘getting the badge’ over workshops more intrinsically focused on enhancing L&amp;T practice.</w:t>
            </w:r>
          </w:p>
          <w:p w14:paraId="79719FC2" w14:textId="77777777" w:rsidR="00B14FD2" w:rsidRPr="004868C9" w:rsidRDefault="00B14FD2" w:rsidP="00B14FD2">
            <w:pPr>
              <w:pStyle w:val="ListParagraph"/>
              <w:numPr>
                <w:ilvl w:val="2"/>
                <w:numId w:val="4"/>
              </w:numPr>
              <w:rPr>
                <w:rFonts w:ascii="Open Sans" w:hAnsi="Open Sans" w:cs="Open Sans"/>
                <w:sz w:val="22"/>
                <w:szCs w:val="22"/>
              </w:rPr>
            </w:pPr>
            <w:r w:rsidRPr="004868C9">
              <w:rPr>
                <w:rFonts w:ascii="Open Sans" w:hAnsi="Open Sans" w:cs="Open Sans"/>
                <w:sz w:val="22"/>
                <w:szCs w:val="22"/>
              </w:rPr>
              <w:t xml:space="preserve">A limitation, or challenge, is the format of the Advance HE records available for checking and confirming internal records.  The format makes the process of comparison a very labour-intensive process. </w:t>
            </w:r>
          </w:p>
          <w:p w14:paraId="170AD2D6" w14:textId="77777777" w:rsidR="00B14FD2" w:rsidRPr="004868C9" w:rsidRDefault="00B14FD2" w:rsidP="00B14FD2">
            <w:pPr>
              <w:pStyle w:val="ListParagraph"/>
              <w:ind w:left="2160"/>
              <w:rPr>
                <w:rFonts w:ascii="Open Sans" w:hAnsi="Open Sans" w:cs="Open Sans"/>
                <w:sz w:val="22"/>
                <w:szCs w:val="22"/>
              </w:rPr>
            </w:pPr>
            <w:r w:rsidRPr="004868C9">
              <w:rPr>
                <w:rFonts w:ascii="Open Sans" w:hAnsi="Open Sans" w:cs="Open Sans"/>
                <w:sz w:val="22"/>
                <w:szCs w:val="22"/>
              </w:rPr>
              <w:t xml:space="preserve">   </w:t>
            </w:r>
          </w:p>
          <w:p w14:paraId="15470AE0" w14:textId="77777777" w:rsidR="00B14FD2" w:rsidRPr="004868C9" w:rsidRDefault="00B14FD2" w:rsidP="00B14FD2">
            <w:pPr>
              <w:pStyle w:val="ListParagraph"/>
              <w:numPr>
                <w:ilvl w:val="0"/>
                <w:numId w:val="4"/>
              </w:numPr>
              <w:rPr>
                <w:rFonts w:ascii="Open Sans" w:hAnsi="Open Sans" w:cs="Open Sans"/>
                <w:sz w:val="22"/>
                <w:szCs w:val="22"/>
              </w:rPr>
            </w:pPr>
            <w:r w:rsidRPr="004868C9">
              <w:rPr>
                <w:rFonts w:ascii="Open Sans" w:hAnsi="Open Sans" w:cs="Open Sans"/>
                <w:sz w:val="22"/>
                <w:szCs w:val="22"/>
              </w:rPr>
              <w:t xml:space="preserve">Staff participation in the 40-50 workshops that comprise the academic development offer within the accredited scheme is routinely recorded within the institutional HR system, which feeds into individual HR records.  As all workshops are aligned to PSF Dimensions of practice, these records indicate engagement with development with respect to these dimensions.  </w:t>
            </w:r>
          </w:p>
          <w:p w14:paraId="6178F084" w14:textId="77777777" w:rsidR="00B14FD2" w:rsidRPr="004868C9" w:rsidRDefault="00B14FD2" w:rsidP="00B14FD2">
            <w:pPr>
              <w:pStyle w:val="ListParagraph"/>
              <w:numPr>
                <w:ilvl w:val="1"/>
                <w:numId w:val="4"/>
              </w:numPr>
              <w:rPr>
                <w:rFonts w:ascii="Open Sans" w:hAnsi="Open Sans" w:cs="Open Sans"/>
                <w:sz w:val="22"/>
                <w:szCs w:val="22"/>
              </w:rPr>
            </w:pPr>
            <w:r w:rsidRPr="004868C9">
              <w:rPr>
                <w:rFonts w:ascii="Open Sans" w:hAnsi="Open Sans" w:cs="Open Sans"/>
                <w:sz w:val="22"/>
                <w:szCs w:val="22"/>
              </w:rPr>
              <w:t xml:space="preserve">Effectiveness/limitations of this approach: </w:t>
            </w:r>
          </w:p>
          <w:p w14:paraId="77AFDA2E" w14:textId="77777777" w:rsidR="00B14FD2" w:rsidRPr="004868C9" w:rsidRDefault="00B14FD2" w:rsidP="00B14FD2">
            <w:pPr>
              <w:pStyle w:val="ListParagraph"/>
              <w:numPr>
                <w:ilvl w:val="2"/>
                <w:numId w:val="4"/>
              </w:numPr>
              <w:rPr>
                <w:rFonts w:ascii="Open Sans" w:hAnsi="Open Sans" w:cs="Open Sans"/>
                <w:sz w:val="22"/>
                <w:szCs w:val="22"/>
              </w:rPr>
            </w:pPr>
            <w:r w:rsidRPr="004868C9">
              <w:rPr>
                <w:rFonts w:ascii="Open Sans" w:hAnsi="Open Sans" w:cs="Open Sans"/>
                <w:sz w:val="22"/>
                <w:szCs w:val="22"/>
              </w:rPr>
              <w:t xml:space="preserve">In principle the approach makes it possible to analyse engagement across academic faculties, across various PSF Dimensions of practice and to ascertain any link between staff engagement and NSS results.  </w:t>
            </w:r>
          </w:p>
          <w:p w14:paraId="30521BEF" w14:textId="77777777" w:rsidR="00B14FD2" w:rsidRPr="004868C9" w:rsidRDefault="00B14FD2" w:rsidP="00B14FD2">
            <w:pPr>
              <w:pStyle w:val="ListParagraph"/>
              <w:numPr>
                <w:ilvl w:val="2"/>
                <w:numId w:val="4"/>
              </w:numPr>
              <w:rPr>
                <w:rFonts w:ascii="Open Sans" w:hAnsi="Open Sans" w:cs="Open Sans"/>
                <w:sz w:val="22"/>
                <w:szCs w:val="22"/>
              </w:rPr>
            </w:pPr>
            <w:r w:rsidRPr="004868C9">
              <w:rPr>
                <w:rFonts w:ascii="Open Sans" w:hAnsi="Open Sans" w:cs="Open Sans"/>
                <w:sz w:val="22"/>
                <w:szCs w:val="22"/>
              </w:rPr>
              <w:t xml:space="preserve">However, a significant limitation is the challenges encountered in obtaining the data and that analysis; we are starting to consider an alternative, more easily accessible, tool for data recording and reporting.  </w:t>
            </w:r>
          </w:p>
          <w:p w14:paraId="5906782A" w14:textId="77777777" w:rsidR="00B14FD2" w:rsidRPr="004868C9" w:rsidRDefault="00B14FD2" w:rsidP="00B14FD2">
            <w:pPr>
              <w:pStyle w:val="ListParagraph"/>
              <w:numPr>
                <w:ilvl w:val="2"/>
                <w:numId w:val="4"/>
              </w:numPr>
              <w:rPr>
                <w:rFonts w:ascii="Open Sans" w:hAnsi="Open Sans" w:cs="Open Sans"/>
                <w:sz w:val="22"/>
                <w:szCs w:val="22"/>
              </w:rPr>
            </w:pPr>
            <w:r w:rsidRPr="004868C9">
              <w:rPr>
                <w:rFonts w:ascii="Open Sans" w:hAnsi="Open Sans" w:cs="Open Sans"/>
                <w:sz w:val="22"/>
                <w:szCs w:val="22"/>
              </w:rPr>
              <w:t>One specific limitation is that although there was an aspiration to analyse engagement in the academic development available within the accredited provision with respect to career stage, principally engagement pre- or post- obtaining FHEA.  This was intended to ascertain success, or otherwise, of the aspiration of an inclusive scheme, engaging staff across their career.  Such analysis has however, not yet been possible, apparently due to non-alignment of separate databases.</w:t>
            </w:r>
          </w:p>
          <w:p w14:paraId="683CC304" w14:textId="77777777" w:rsidR="00B14FD2" w:rsidRPr="004868C9" w:rsidRDefault="00B14FD2" w:rsidP="00B14FD2">
            <w:pPr>
              <w:pStyle w:val="NormalWeb"/>
              <w:rPr>
                <w:rFonts w:ascii="Open Sans" w:hAnsi="Open Sans" w:cs="Open Sans"/>
                <w:color w:val="000000" w:themeColor="text1"/>
                <w:sz w:val="22"/>
                <w:szCs w:val="22"/>
              </w:rPr>
            </w:pPr>
            <w:r w:rsidRPr="004868C9">
              <w:rPr>
                <w:rFonts w:ascii="Open Sans" w:hAnsi="Open Sans" w:cs="Open Sans"/>
                <w:color w:val="000000" w:themeColor="text1"/>
                <w:sz w:val="22"/>
                <w:szCs w:val="22"/>
              </w:rPr>
              <w:lastRenderedPageBreak/>
              <w:t>The standard evaluation processes are under review considering re-accreditation in 2024.  Our approaches will include:</w:t>
            </w:r>
          </w:p>
          <w:p w14:paraId="7E124F89" w14:textId="77777777" w:rsidR="00B14FD2" w:rsidRPr="004868C9" w:rsidRDefault="00B14FD2" w:rsidP="00B14FD2">
            <w:pPr>
              <w:pStyle w:val="NormalWeb"/>
              <w:numPr>
                <w:ilvl w:val="0"/>
                <w:numId w:val="5"/>
              </w:numPr>
              <w:rPr>
                <w:rFonts w:ascii="Open Sans" w:hAnsi="Open Sans" w:cs="Open Sans"/>
                <w:color w:val="000000" w:themeColor="text1"/>
                <w:sz w:val="22"/>
                <w:szCs w:val="22"/>
              </w:rPr>
            </w:pPr>
            <w:r w:rsidRPr="004868C9">
              <w:rPr>
                <w:rFonts w:ascii="Open Sans" w:hAnsi="Open Sans" w:cs="Open Sans"/>
                <w:color w:val="000000" w:themeColor="text1"/>
                <w:sz w:val="22"/>
                <w:szCs w:val="22"/>
              </w:rPr>
              <w:t>Quantitative analysis as above, including an attempt to undertake at least some analysis with respect to career stage.</w:t>
            </w:r>
          </w:p>
          <w:p w14:paraId="1F8227DE" w14:textId="77777777" w:rsidR="00B14FD2" w:rsidRPr="004868C9" w:rsidRDefault="00B14FD2" w:rsidP="00B14FD2">
            <w:pPr>
              <w:pStyle w:val="NormalWeb"/>
              <w:numPr>
                <w:ilvl w:val="0"/>
                <w:numId w:val="5"/>
              </w:numPr>
              <w:rPr>
                <w:rFonts w:ascii="Open Sans" w:hAnsi="Open Sans" w:cs="Open Sans"/>
                <w:color w:val="000000" w:themeColor="text1"/>
                <w:sz w:val="22"/>
                <w:szCs w:val="22"/>
              </w:rPr>
            </w:pPr>
            <w:r w:rsidRPr="004868C9">
              <w:rPr>
                <w:rFonts w:ascii="Open Sans" w:hAnsi="Open Sans" w:cs="Open Sans"/>
                <w:color w:val="000000" w:themeColor="text1"/>
                <w:sz w:val="22"/>
                <w:szCs w:val="22"/>
              </w:rPr>
              <w:t>Interviews with Faculty Deans and other institutional and subject leaders regarding perceived strengths of the current provision and where it could be improved as well as their perspectives on key challenges and priorities for the institution, and their areas, over the coming 4-5 years.</w:t>
            </w:r>
          </w:p>
          <w:p w14:paraId="1E92F72E" w14:textId="5F40351B" w:rsidR="007A32C8" w:rsidRPr="004868C9" w:rsidRDefault="00B14FD2" w:rsidP="00B14FD2">
            <w:pPr>
              <w:rPr>
                <w:sz w:val="22"/>
              </w:rPr>
            </w:pPr>
            <w:r w:rsidRPr="004868C9">
              <w:rPr>
                <w:rFonts w:ascii="Open Sans" w:hAnsi="Open Sans" w:cs="Open Sans"/>
                <w:sz w:val="22"/>
                <w:szCs w:val="22"/>
              </w:rPr>
              <w:t>Carpe-Diem style engagement of colleagues around the university to focus on both their evaluation of existing implementation of the provisions and their aspirations for the future.</w:t>
            </w:r>
          </w:p>
          <w:p w14:paraId="072158F6" w14:textId="77777777" w:rsidR="007A32C8" w:rsidRPr="004868C9" w:rsidRDefault="007A32C8" w:rsidP="00A85DEF">
            <w:pPr>
              <w:rPr>
                <w:sz w:val="22"/>
              </w:rPr>
            </w:pPr>
          </w:p>
        </w:tc>
      </w:tr>
    </w:tbl>
    <w:p w14:paraId="35672725" w14:textId="77777777" w:rsidR="007A32C8" w:rsidRPr="004868C9" w:rsidRDefault="007A32C8" w:rsidP="007A32C8">
      <w:pPr>
        <w:rPr>
          <w:sz w:val="22"/>
        </w:rPr>
      </w:pPr>
    </w:p>
    <w:p w14:paraId="51557B26" w14:textId="77777777" w:rsidR="007A32C8" w:rsidRPr="004868C9" w:rsidRDefault="007A32C8" w:rsidP="007A32C8">
      <w:pPr>
        <w:spacing w:after="160" w:line="259" w:lineRule="auto"/>
        <w:rPr>
          <w:rFonts w:eastAsiaTheme="majorEastAsia" w:cs="Arial"/>
          <w:b/>
          <w:bCs/>
          <w:sz w:val="26"/>
          <w:szCs w:val="26"/>
        </w:rPr>
      </w:pPr>
      <w:r w:rsidRPr="004868C9">
        <w:rPr>
          <w:rFonts w:eastAsiaTheme="majorEastAsia" w:cs="Arial"/>
          <w:b/>
          <w:bCs/>
          <w:sz w:val="26"/>
          <w:szCs w:val="26"/>
        </w:rPr>
        <w:br w:type="page"/>
      </w:r>
    </w:p>
    <w:p w14:paraId="5762504C" w14:textId="77777777" w:rsidR="007A32C8" w:rsidRPr="004868C9" w:rsidRDefault="007A32C8" w:rsidP="007A32C8">
      <w:pPr>
        <w:keepNext/>
        <w:keepLines/>
        <w:spacing w:before="200" w:after="220"/>
        <w:jc w:val="both"/>
        <w:outlineLvl w:val="2"/>
        <w:rPr>
          <w:rFonts w:eastAsiaTheme="majorEastAsia" w:cs="Arial"/>
          <w:b/>
          <w:bCs/>
          <w:sz w:val="26"/>
          <w:szCs w:val="26"/>
        </w:rPr>
      </w:pPr>
      <w:r w:rsidRPr="004868C9">
        <w:rPr>
          <w:rFonts w:eastAsiaTheme="majorEastAsia" w:cs="Arial"/>
          <w:b/>
          <w:bCs/>
          <w:sz w:val="26"/>
          <w:szCs w:val="26"/>
        </w:rPr>
        <w:lastRenderedPageBreak/>
        <w:t xml:space="preserve">Section 2 Part c: Participation in accredited provision </w:t>
      </w:r>
      <w:r w:rsidR="008F0689" w:rsidRPr="004868C9">
        <w:rPr>
          <w:rFonts w:eastAsiaTheme="majorEastAsia" w:cs="Arial"/>
          <w:b/>
          <w:bCs/>
          <w:sz w:val="26"/>
          <w:szCs w:val="26"/>
        </w:rPr>
        <w:t>2021-22</w:t>
      </w:r>
    </w:p>
    <w:tbl>
      <w:tblPr>
        <w:tblStyle w:val="TableGrid3"/>
        <w:tblW w:w="9782" w:type="dxa"/>
        <w:tblInd w:w="-431" w:type="dxa"/>
        <w:tblLook w:val="04A0" w:firstRow="1" w:lastRow="0" w:firstColumn="1" w:lastColumn="0" w:noHBand="0" w:noVBand="1"/>
      </w:tblPr>
      <w:tblGrid>
        <w:gridCol w:w="9782"/>
      </w:tblGrid>
      <w:tr w:rsidR="004868C9" w:rsidRPr="004868C9" w14:paraId="6ED8F3D3" w14:textId="77777777" w:rsidTr="004868C9">
        <w:trPr>
          <w:trHeight w:val="680"/>
        </w:trPr>
        <w:tc>
          <w:tcPr>
            <w:tcW w:w="9782" w:type="dxa"/>
            <w:shd w:val="clear" w:color="auto" w:fill="FFFFFF" w:themeFill="background1"/>
            <w:vAlign w:val="center"/>
          </w:tcPr>
          <w:p w14:paraId="71AF583C" w14:textId="77777777" w:rsidR="007A32C8" w:rsidRPr="004868C9" w:rsidRDefault="007A32C8" w:rsidP="00A85DEF">
            <w:r w:rsidRPr="004868C9">
              <w:t>Please identify whether any groups of staff are under-represented within accredited provision and explain measures in place/proposed to address any issues identified (if appropriate)</w:t>
            </w:r>
          </w:p>
        </w:tc>
      </w:tr>
      <w:tr w:rsidR="004868C9" w:rsidRPr="004868C9" w14:paraId="61CAE166" w14:textId="77777777" w:rsidTr="00614503">
        <w:trPr>
          <w:trHeight w:val="2213"/>
        </w:trPr>
        <w:tc>
          <w:tcPr>
            <w:tcW w:w="9782" w:type="dxa"/>
          </w:tcPr>
          <w:p w14:paraId="362A618A" w14:textId="77777777" w:rsidR="00F353A9" w:rsidRPr="004868C9" w:rsidRDefault="00F353A9" w:rsidP="00F353A9">
            <w:pPr>
              <w:rPr>
                <w:rFonts w:ascii="Open Sans" w:hAnsi="Open Sans" w:cs="Open Sans"/>
                <w:b/>
                <w:bCs/>
                <w:sz w:val="22"/>
                <w:szCs w:val="22"/>
              </w:rPr>
            </w:pPr>
            <w:r w:rsidRPr="004868C9">
              <w:rPr>
                <w:rFonts w:ascii="Open Sans" w:hAnsi="Open Sans" w:cs="Open Sans"/>
                <w:b/>
                <w:bCs/>
                <w:sz w:val="22"/>
                <w:szCs w:val="22"/>
              </w:rPr>
              <w:t>Engagement in academic development opportunities through C@N-DO</w:t>
            </w:r>
          </w:p>
          <w:p w14:paraId="12ECBA56" w14:textId="77777777" w:rsidR="00F353A9" w:rsidRPr="004868C9" w:rsidRDefault="00F353A9" w:rsidP="00F353A9">
            <w:pPr>
              <w:rPr>
                <w:rFonts w:ascii="Open Sans" w:hAnsi="Open Sans" w:cs="Open Sans"/>
                <w:sz w:val="22"/>
                <w:szCs w:val="22"/>
              </w:rPr>
            </w:pPr>
          </w:p>
          <w:p w14:paraId="1EB5287F" w14:textId="77777777" w:rsidR="00F353A9" w:rsidRPr="004868C9" w:rsidRDefault="00F353A9" w:rsidP="002A0654">
            <w:pPr>
              <w:jc w:val="both"/>
              <w:rPr>
                <w:rFonts w:ascii="Open Sans" w:hAnsi="Open Sans" w:cs="Open Sans"/>
                <w:sz w:val="22"/>
                <w:szCs w:val="22"/>
              </w:rPr>
            </w:pPr>
            <w:r w:rsidRPr="004868C9">
              <w:rPr>
                <w:rFonts w:ascii="Open Sans" w:hAnsi="Open Sans" w:cs="Open Sans"/>
                <w:sz w:val="22"/>
                <w:szCs w:val="22"/>
              </w:rPr>
              <w:t xml:space="preserve">C@N-DO is designed as a broad, inclusive, CPD scheme offering academic development opportunities through around 40-50 workshops which are aligned and structured around all 5 UKPSF Areas or Activity.  Individual staff member participation is recorded within the HR system, including alignment with UKPSF Dimensions.  There are some ‘blips’ in the records, and thus figures are only broadly accurate, however data indicates that across 2020-21 and 2021-22, around 24% of the staff on academic contracts had some level of engagement in the workshops within the accredited provision.  </w:t>
            </w:r>
          </w:p>
          <w:p w14:paraId="26DF4CE8" w14:textId="77777777" w:rsidR="00F353A9" w:rsidRPr="004868C9" w:rsidRDefault="00F353A9" w:rsidP="00F353A9">
            <w:pPr>
              <w:rPr>
                <w:rFonts w:ascii="Open Sans" w:hAnsi="Open Sans" w:cs="Open Sans"/>
                <w:sz w:val="22"/>
                <w:szCs w:val="22"/>
              </w:rPr>
            </w:pPr>
          </w:p>
          <w:p w14:paraId="5F961FAB" w14:textId="77777777" w:rsidR="00F353A9" w:rsidRPr="004868C9" w:rsidRDefault="00F353A9" w:rsidP="00F353A9">
            <w:pPr>
              <w:rPr>
                <w:rFonts w:ascii="Open Sans" w:hAnsi="Open Sans" w:cs="Open Sans"/>
                <w:sz w:val="22"/>
                <w:szCs w:val="22"/>
              </w:rPr>
            </w:pPr>
            <w:r w:rsidRPr="004868C9">
              <w:rPr>
                <w:rFonts w:ascii="Open Sans" w:hAnsi="Open Sans" w:cs="Open Sans"/>
                <w:sz w:val="22"/>
                <w:szCs w:val="22"/>
              </w:rPr>
              <w:t xml:space="preserve">Data is not available with respect to protected characteristics, but figures indicate a clear gap with respect to contract type:  </w:t>
            </w:r>
          </w:p>
          <w:p w14:paraId="1D49D697" w14:textId="77777777" w:rsidR="00F353A9" w:rsidRPr="004868C9" w:rsidRDefault="00F353A9" w:rsidP="00F353A9">
            <w:pPr>
              <w:pStyle w:val="ListParagraph"/>
              <w:numPr>
                <w:ilvl w:val="0"/>
                <w:numId w:val="6"/>
              </w:numPr>
              <w:rPr>
                <w:rFonts w:ascii="Open Sans" w:hAnsi="Open Sans" w:cs="Open Sans"/>
                <w:sz w:val="22"/>
                <w:szCs w:val="22"/>
              </w:rPr>
            </w:pPr>
            <w:r w:rsidRPr="004868C9">
              <w:rPr>
                <w:rFonts w:ascii="Open Sans" w:hAnsi="Open Sans" w:cs="Open Sans"/>
                <w:sz w:val="22"/>
                <w:szCs w:val="22"/>
              </w:rPr>
              <w:t>The figure for core staff engagement in at least one C@N-DO workshop stands at approximately 34% of the total</w:t>
            </w:r>
          </w:p>
          <w:p w14:paraId="34BA0ED0" w14:textId="77777777" w:rsidR="00F353A9" w:rsidRPr="004868C9" w:rsidRDefault="00F353A9" w:rsidP="00F353A9">
            <w:pPr>
              <w:pStyle w:val="ListParagraph"/>
              <w:numPr>
                <w:ilvl w:val="0"/>
                <w:numId w:val="6"/>
              </w:numPr>
              <w:rPr>
                <w:rFonts w:ascii="Open Sans" w:hAnsi="Open Sans" w:cs="Open Sans"/>
                <w:sz w:val="22"/>
                <w:szCs w:val="22"/>
              </w:rPr>
            </w:pPr>
            <w:r w:rsidRPr="004868C9">
              <w:rPr>
                <w:rFonts w:ascii="Open Sans" w:hAnsi="Open Sans" w:cs="Open Sans"/>
                <w:sz w:val="22"/>
                <w:szCs w:val="22"/>
              </w:rPr>
              <w:t>The figure for Associate Lecturer engagement in C@N-DO workshops is as low as 6%.</w:t>
            </w:r>
          </w:p>
          <w:p w14:paraId="60D6FEA1" w14:textId="77777777" w:rsidR="00F353A9" w:rsidRPr="004868C9" w:rsidRDefault="00F353A9" w:rsidP="00F353A9">
            <w:pPr>
              <w:rPr>
                <w:rFonts w:ascii="Open Sans" w:hAnsi="Open Sans" w:cs="Open Sans"/>
                <w:sz w:val="22"/>
                <w:szCs w:val="22"/>
              </w:rPr>
            </w:pPr>
          </w:p>
          <w:p w14:paraId="32F341C1" w14:textId="77777777" w:rsidR="00F353A9" w:rsidRPr="004868C9" w:rsidRDefault="00F353A9" w:rsidP="002A0654">
            <w:pPr>
              <w:jc w:val="both"/>
              <w:rPr>
                <w:rFonts w:ascii="Open Sans" w:hAnsi="Open Sans" w:cs="Open Sans"/>
                <w:sz w:val="22"/>
                <w:szCs w:val="22"/>
              </w:rPr>
            </w:pPr>
            <w:r w:rsidRPr="004868C9">
              <w:rPr>
                <w:rFonts w:ascii="Open Sans" w:hAnsi="Open Sans" w:cs="Open Sans"/>
                <w:sz w:val="22"/>
                <w:szCs w:val="22"/>
              </w:rPr>
              <w:t xml:space="preserve">Since the start of the pandemic, the large majority of C@N-DO workshops have been provided online, so this low figure cannot be explained in terms of access to face-to-face provision on campus.  Timing may well be an issue but attempts at running asynchronous workshops were not successful.  Provision exists for Associate Lecturers to be paid for engagement in agreed development but is not publicised widely.  </w:t>
            </w:r>
          </w:p>
          <w:p w14:paraId="4A9E7498" w14:textId="77777777" w:rsidR="007A32C8" w:rsidRPr="004868C9" w:rsidRDefault="007A32C8" w:rsidP="00A85DEF"/>
          <w:p w14:paraId="3BEBD804" w14:textId="77777777" w:rsidR="007A32C8" w:rsidRPr="004868C9" w:rsidRDefault="007A32C8" w:rsidP="00A85DEF"/>
        </w:tc>
      </w:tr>
    </w:tbl>
    <w:p w14:paraId="3F35FEFD" w14:textId="77777777" w:rsidR="007A32C8" w:rsidRPr="004868C9" w:rsidRDefault="007A32C8">
      <w:pPr>
        <w:spacing w:after="160" w:line="259" w:lineRule="auto"/>
        <w:rPr>
          <w:rFonts w:eastAsiaTheme="majorEastAsia" w:cs="Arial"/>
          <w:b/>
          <w:sz w:val="28"/>
          <w:szCs w:val="28"/>
          <w:lang w:val="en-US"/>
        </w:rPr>
      </w:pPr>
    </w:p>
    <w:p w14:paraId="15841032" w14:textId="77777777" w:rsidR="000B127C" w:rsidRPr="004868C9" w:rsidRDefault="000B127C" w:rsidP="003E3744">
      <w:pPr>
        <w:keepNext/>
        <w:keepLines/>
        <w:spacing w:before="40" w:after="220"/>
        <w:outlineLvl w:val="1"/>
        <w:rPr>
          <w:rFonts w:eastAsiaTheme="majorEastAsia" w:cs="Arial"/>
          <w:b/>
          <w:sz w:val="28"/>
          <w:szCs w:val="28"/>
          <w:lang w:val="en-US"/>
        </w:rPr>
      </w:pPr>
      <w:r w:rsidRPr="004868C9">
        <w:rPr>
          <w:rFonts w:eastAsiaTheme="majorEastAsia" w:cs="Arial"/>
          <w:b/>
          <w:sz w:val="28"/>
          <w:szCs w:val="28"/>
          <w:lang w:val="en-US"/>
        </w:rPr>
        <w:t xml:space="preserve">Section 3: CPD </w:t>
      </w:r>
      <w:r w:rsidR="003E3744" w:rsidRPr="004868C9">
        <w:rPr>
          <w:rFonts w:eastAsiaTheme="majorEastAsia" w:cs="Arial"/>
          <w:b/>
          <w:sz w:val="28"/>
          <w:szCs w:val="28"/>
          <w:lang w:val="en-US"/>
        </w:rPr>
        <w:t>Scheme management and operation</w:t>
      </w:r>
    </w:p>
    <w:p w14:paraId="066E114E" w14:textId="77777777" w:rsidR="000B127C" w:rsidRPr="004868C9" w:rsidRDefault="000B127C" w:rsidP="000B127C">
      <w:pPr>
        <w:keepNext/>
        <w:keepLines/>
        <w:spacing w:before="200" w:after="220"/>
        <w:jc w:val="both"/>
        <w:outlineLvl w:val="2"/>
        <w:rPr>
          <w:rFonts w:eastAsiaTheme="majorEastAsia" w:cs="Arial"/>
          <w:b/>
          <w:bCs/>
          <w:sz w:val="26"/>
          <w:szCs w:val="26"/>
        </w:rPr>
      </w:pPr>
      <w:r w:rsidRPr="004868C9">
        <w:rPr>
          <w:rFonts w:eastAsiaTheme="majorEastAsia" w:cs="Arial"/>
          <w:b/>
          <w:bCs/>
          <w:sz w:val="26"/>
          <w:szCs w:val="26"/>
        </w:rPr>
        <w:t>Section 3</w:t>
      </w:r>
      <w:r w:rsidR="003E3744" w:rsidRPr="004868C9">
        <w:rPr>
          <w:rFonts w:eastAsiaTheme="majorEastAsia" w:cs="Arial"/>
          <w:b/>
          <w:bCs/>
          <w:sz w:val="26"/>
          <w:szCs w:val="26"/>
        </w:rPr>
        <w:t xml:space="preserve"> Part a</w:t>
      </w:r>
      <w:r w:rsidRPr="004868C9">
        <w:rPr>
          <w:rFonts w:eastAsiaTheme="majorEastAsia" w:cs="Arial"/>
          <w:b/>
          <w:bCs/>
          <w:sz w:val="26"/>
          <w:szCs w:val="26"/>
        </w:rPr>
        <w:t>: Support for effective operation of the scheme</w:t>
      </w:r>
    </w:p>
    <w:tbl>
      <w:tblPr>
        <w:tblStyle w:val="TableGrid3"/>
        <w:tblW w:w="9782" w:type="dxa"/>
        <w:tblInd w:w="-431" w:type="dxa"/>
        <w:tblLook w:val="04A0" w:firstRow="1" w:lastRow="0" w:firstColumn="1" w:lastColumn="0" w:noHBand="0" w:noVBand="1"/>
      </w:tblPr>
      <w:tblGrid>
        <w:gridCol w:w="9782"/>
      </w:tblGrid>
      <w:tr w:rsidR="004868C9" w:rsidRPr="004868C9" w14:paraId="0E425DCB" w14:textId="77777777" w:rsidTr="004868C9">
        <w:trPr>
          <w:trHeight w:val="680"/>
        </w:trPr>
        <w:tc>
          <w:tcPr>
            <w:tcW w:w="9782" w:type="dxa"/>
            <w:shd w:val="clear" w:color="auto" w:fill="FFFFFF" w:themeFill="background1"/>
            <w:vAlign w:val="center"/>
          </w:tcPr>
          <w:p w14:paraId="479A8739" w14:textId="77777777" w:rsidR="000B127C" w:rsidRPr="004868C9" w:rsidRDefault="000B127C" w:rsidP="00C74BA8">
            <w:r w:rsidRPr="004868C9">
              <w:t>Outline any model/ initiative in place that ensures effective and sustainable operation of the accredited scheme in line with demand (please leave blank if none exist)</w:t>
            </w:r>
          </w:p>
        </w:tc>
      </w:tr>
      <w:tr w:rsidR="004868C9" w:rsidRPr="004868C9" w14:paraId="1AFFD2E1" w14:textId="77777777" w:rsidTr="00614503">
        <w:trPr>
          <w:trHeight w:val="976"/>
        </w:trPr>
        <w:tc>
          <w:tcPr>
            <w:tcW w:w="9782" w:type="dxa"/>
          </w:tcPr>
          <w:p w14:paraId="1E0C6D35" w14:textId="77777777" w:rsidR="00590E9F" w:rsidRPr="004868C9" w:rsidRDefault="00590E9F" w:rsidP="00590E9F">
            <w:pPr>
              <w:rPr>
                <w:rFonts w:ascii="Open Sans" w:hAnsi="Open Sans" w:cs="Open Sans"/>
                <w:b/>
                <w:bCs/>
                <w:sz w:val="22"/>
                <w:szCs w:val="22"/>
              </w:rPr>
            </w:pPr>
            <w:r w:rsidRPr="004868C9">
              <w:rPr>
                <w:rFonts w:ascii="Open Sans" w:hAnsi="Open Sans" w:cs="Open Sans"/>
                <w:b/>
                <w:bCs/>
                <w:sz w:val="22"/>
                <w:szCs w:val="22"/>
              </w:rPr>
              <w:t>Fellowships and other Professional Recognition:</w:t>
            </w:r>
          </w:p>
          <w:p w14:paraId="5DC65269" w14:textId="77777777" w:rsidR="00590E9F" w:rsidRPr="004868C9" w:rsidRDefault="00590E9F" w:rsidP="00590E9F">
            <w:pPr>
              <w:rPr>
                <w:rFonts w:ascii="Open Sans" w:hAnsi="Open Sans" w:cs="Open Sans"/>
                <w:b/>
                <w:bCs/>
                <w:sz w:val="22"/>
                <w:szCs w:val="22"/>
              </w:rPr>
            </w:pPr>
          </w:p>
          <w:p w14:paraId="1C545CEA" w14:textId="77777777" w:rsidR="00590E9F" w:rsidRPr="004868C9" w:rsidRDefault="00590E9F" w:rsidP="002A0654">
            <w:pPr>
              <w:jc w:val="both"/>
              <w:rPr>
                <w:rFonts w:ascii="Open Sans" w:hAnsi="Open Sans" w:cs="Open Sans"/>
                <w:sz w:val="22"/>
                <w:szCs w:val="22"/>
              </w:rPr>
            </w:pPr>
            <w:r w:rsidRPr="004868C9">
              <w:rPr>
                <w:rFonts w:ascii="Open Sans" w:hAnsi="Open Sans" w:cs="Open Sans"/>
                <w:sz w:val="22"/>
                <w:szCs w:val="22"/>
              </w:rPr>
              <w:t xml:space="preserve">We do not hold data more specifically for Fellowship awards, or award on first submission, through C@N-DO with respect to protected characteristics but will explore ways in which this could be monitored. </w:t>
            </w:r>
          </w:p>
          <w:p w14:paraId="6B7D3D85" w14:textId="77777777" w:rsidR="00590E9F" w:rsidRPr="004868C9" w:rsidRDefault="00590E9F" w:rsidP="00590E9F">
            <w:pPr>
              <w:rPr>
                <w:rFonts w:ascii="Open Sans" w:hAnsi="Open Sans" w:cs="Open Sans"/>
                <w:sz w:val="22"/>
                <w:szCs w:val="22"/>
              </w:rPr>
            </w:pPr>
          </w:p>
          <w:p w14:paraId="3EAE0037" w14:textId="77777777" w:rsidR="00590E9F" w:rsidRPr="004868C9" w:rsidRDefault="00590E9F" w:rsidP="002A0654">
            <w:pPr>
              <w:jc w:val="both"/>
              <w:rPr>
                <w:rFonts w:ascii="Open Sans" w:hAnsi="Open Sans" w:cs="Open Sans"/>
                <w:sz w:val="22"/>
                <w:szCs w:val="22"/>
              </w:rPr>
            </w:pPr>
            <w:r w:rsidRPr="004868C9">
              <w:rPr>
                <w:rFonts w:ascii="Open Sans" w:hAnsi="Open Sans" w:cs="Open Sans"/>
                <w:sz w:val="22"/>
                <w:szCs w:val="22"/>
              </w:rPr>
              <w:t>In terms of overall HEA Fellowship numbers, contact type is significant.  Internal data indicates that around 60% of Core staff hold some form of HEA Fellowship, but that the number of Associate Lecturers holding HEA Fellowship stands only at 8%.  Associate Lecturers therefore represent a group which is significantly under-represented within our Fellowship numbers.</w:t>
            </w:r>
          </w:p>
          <w:p w14:paraId="344B2336" w14:textId="77777777" w:rsidR="00590E9F" w:rsidRPr="004868C9" w:rsidRDefault="00590E9F" w:rsidP="00590E9F">
            <w:pPr>
              <w:rPr>
                <w:rFonts w:ascii="Open Sans" w:hAnsi="Open Sans" w:cs="Open Sans"/>
                <w:sz w:val="22"/>
                <w:szCs w:val="22"/>
              </w:rPr>
            </w:pPr>
          </w:p>
          <w:p w14:paraId="4192914E" w14:textId="77777777" w:rsidR="00590E9F" w:rsidRPr="004868C9" w:rsidRDefault="00590E9F" w:rsidP="002A0654">
            <w:pPr>
              <w:jc w:val="both"/>
              <w:rPr>
                <w:rFonts w:ascii="Open Sans" w:hAnsi="Open Sans" w:cs="Open Sans"/>
                <w:sz w:val="22"/>
                <w:szCs w:val="22"/>
              </w:rPr>
            </w:pPr>
            <w:r w:rsidRPr="004868C9">
              <w:rPr>
                <w:rFonts w:ascii="Open Sans" w:hAnsi="Open Sans" w:cs="Open Sans"/>
                <w:sz w:val="22"/>
                <w:szCs w:val="22"/>
              </w:rPr>
              <w:lastRenderedPageBreak/>
              <w:t>Several strategies have been adopted in the 2021-22 academic year in the hope that they may help to address this situation, including n</w:t>
            </w:r>
            <w:r w:rsidRPr="004868C9">
              <w:rPr>
                <w:rFonts w:ascii="Open Sans" w:hAnsi="Open Sans" w:cs="Open Sans"/>
                <w:noProof/>
                <w:sz w:val="22"/>
                <w:szCs w:val="22"/>
              </w:rPr>
              <w:t>ew sources of information, guidance and support regarding Fellowship applications.  Strategies include:</w:t>
            </w:r>
          </w:p>
          <w:p w14:paraId="2EDD2A24" w14:textId="77777777" w:rsidR="00590E9F" w:rsidRPr="004868C9" w:rsidRDefault="00590E9F" w:rsidP="00590E9F">
            <w:pPr>
              <w:pStyle w:val="ListParagraph"/>
              <w:spacing w:before="48" w:after="48"/>
              <w:rPr>
                <w:rFonts w:ascii="Open Sans" w:hAnsi="Open Sans" w:cs="Open Sans"/>
                <w:noProof/>
                <w:sz w:val="22"/>
                <w:szCs w:val="22"/>
              </w:rPr>
            </w:pPr>
          </w:p>
          <w:p w14:paraId="75A66185" w14:textId="77777777" w:rsidR="00590E9F" w:rsidRPr="004868C9" w:rsidRDefault="00590E9F" w:rsidP="00590E9F">
            <w:pPr>
              <w:pStyle w:val="ListParagraph"/>
              <w:numPr>
                <w:ilvl w:val="0"/>
                <w:numId w:val="3"/>
              </w:numPr>
              <w:spacing w:before="48" w:after="48"/>
              <w:rPr>
                <w:rFonts w:ascii="Open Sans" w:hAnsi="Open Sans" w:cs="Open Sans"/>
                <w:noProof/>
                <w:sz w:val="22"/>
                <w:szCs w:val="22"/>
              </w:rPr>
            </w:pPr>
            <w:r w:rsidRPr="004868C9">
              <w:rPr>
                <w:rFonts w:ascii="Open Sans" w:hAnsi="Open Sans" w:cs="Open Sans"/>
                <w:noProof/>
                <w:sz w:val="22"/>
                <w:szCs w:val="22"/>
              </w:rPr>
              <w:t xml:space="preserve">a stronger profile for the online Fellowship Writing Support Resource – accessible by all staff </w:t>
            </w:r>
          </w:p>
          <w:p w14:paraId="0AF81F3C" w14:textId="77777777" w:rsidR="00590E9F" w:rsidRPr="004868C9" w:rsidRDefault="00590E9F" w:rsidP="00590E9F">
            <w:pPr>
              <w:pStyle w:val="ListParagraph"/>
              <w:numPr>
                <w:ilvl w:val="0"/>
                <w:numId w:val="3"/>
              </w:numPr>
              <w:spacing w:before="48" w:after="48"/>
              <w:rPr>
                <w:rFonts w:ascii="Open Sans" w:hAnsi="Open Sans" w:cs="Open Sans"/>
                <w:noProof/>
                <w:sz w:val="22"/>
                <w:szCs w:val="22"/>
              </w:rPr>
            </w:pPr>
            <w:r w:rsidRPr="004868C9">
              <w:rPr>
                <w:rFonts w:ascii="Open Sans" w:hAnsi="Open Sans" w:cs="Open Sans"/>
                <w:noProof/>
                <w:sz w:val="22"/>
                <w:szCs w:val="22"/>
              </w:rPr>
              <w:t>facilitation of direct liaison with faculty Fellowship Champions and the expectation of a ‘faculty check’ – this should facilitate a point of direct support and guidance for Associate Lecturer applicants</w:t>
            </w:r>
          </w:p>
          <w:p w14:paraId="4FBC3354" w14:textId="704B53B8" w:rsidR="000B127C" w:rsidRPr="004868C9" w:rsidRDefault="00590E9F" w:rsidP="00C74BA8">
            <w:pPr>
              <w:pStyle w:val="ListParagraph"/>
              <w:numPr>
                <w:ilvl w:val="0"/>
                <w:numId w:val="3"/>
              </w:numPr>
              <w:spacing w:before="48" w:after="48"/>
              <w:rPr>
                <w:rFonts w:ascii="Open Sans" w:hAnsi="Open Sans" w:cs="Open Sans"/>
                <w:noProof/>
                <w:sz w:val="22"/>
                <w:szCs w:val="22"/>
              </w:rPr>
            </w:pPr>
            <w:r w:rsidRPr="004868C9">
              <w:rPr>
                <w:rFonts w:ascii="Open Sans" w:hAnsi="Open Sans" w:cs="Open Sans"/>
                <w:noProof/>
                <w:sz w:val="22"/>
                <w:szCs w:val="22"/>
              </w:rPr>
              <w:t xml:space="preserve">new Fellowship Peer Support Circles (at AF/F and at SF) – meetings are arranged around the availability of the members and therefore should provide better flexibility for Associate Lecturers than centrally-organised writing retreats etc.    </w:t>
            </w:r>
          </w:p>
          <w:p w14:paraId="020A0093" w14:textId="77777777" w:rsidR="000B127C" w:rsidRPr="004868C9" w:rsidRDefault="000B127C" w:rsidP="00C74BA8">
            <w:pPr>
              <w:rPr>
                <w:sz w:val="22"/>
              </w:rPr>
            </w:pPr>
          </w:p>
          <w:p w14:paraId="54C4BFD3" w14:textId="77777777" w:rsidR="000B127C" w:rsidRPr="004868C9" w:rsidRDefault="000B127C" w:rsidP="00C74BA8">
            <w:pPr>
              <w:rPr>
                <w:sz w:val="22"/>
              </w:rPr>
            </w:pPr>
          </w:p>
        </w:tc>
      </w:tr>
    </w:tbl>
    <w:p w14:paraId="6349C852" w14:textId="77777777" w:rsidR="001C08B8" w:rsidRPr="004868C9" w:rsidRDefault="001C08B8" w:rsidP="000B127C">
      <w:pPr>
        <w:keepNext/>
        <w:keepLines/>
        <w:spacing w:before="200" w:after="220"/>
        <w:jc w:val="both"/>
        <w:outlineLvl w:val="2"/>
        <w:rPr>
          <w:rFonts w:eastAsiaTheme="majorEastAsia" w:cs="Arial"/>
          <w:b/>
          <w:bCs/>
          <w:sz w:val="26"/>
          <w:szCs w:val="26"/>
        </w:rPr>
      </w:pPr>
    </w:p>
    <w:p w14:paraId="2096CFAD" w14:textId="77777777" w:rsidR="000B127C" w:rsidRPr="004868C9" w:rsidRDefault="000B127C" w:rsidP="000B127C">
      <w:pPr>
        <w:keepNext/>
        <w:keepLines/>
        <w:spacing w:before="200" w:after="220"/>
        <w:jc w:val="both"/>
        <w:outlineLvl w:val="2"/>
        <w:rPr>
          <w:rFonts w:eastAsiaTheme="majorEastAsia" w:cs="Arial"/>
          <w:b/>
          <w:bCs/>
          <w:sz w:val="26"/>
          <w:szCs w:val="26"/>
        </w:rPr>
      </w:pPr>
      <w:r w:rsidRPr="004868C9">
        <w:rPr>
          <w:rFonts w:eastAsiaTheme="majorEastAsia" w:cs="Arial"/>
          <w:b/>
          <w:bCs/>
          <w:sz w:val="26"/>
          <w:szCs w:val="26"/>
        </w:rPr>
        <w:t xml:space="preserve">Section 3 Part </w:t>
      </w:r>
      <w:r w:rsidR="003E3744" w:rsidRPr="004868C9">
        <w:rPr>
          <w:rFonts w:eastAsiaTheme="majorEastAsia" w:cs="Arial"/>
          <w:b/>
          <w:bCs/>
          <w:sz w:val="26"/>
          <w:szCs w:val="26"/>
        </w:rPr>
        <w:t>b</w:t>
      </w:r>
      <w:r w:rsidRPr="004868C9">
        <w:rPr>
          <w:rFonts w:eastAsiaTheme="majorEastAsia" w:cs="Arial"/>
          <w:b/>
          <w:bCs/>
          <w:sz w:val="26"/>
          <w:szCs w:val="26"/>
        </w:rPr>
        <w:t xml:space="preserve">: Focus of scheme management during </w:t>
      </w:r>
      <w:r w:rsidR="008F0689" w:rsidRPr="004868C9">
        <w:rPr>
          <w:rFonts w:eastAsiaTheme="majorEastAsia" w:cs="Arial"/>
          <w:b/>
          <w:bCs/>
          <w:sz w:val="26"/>
          <w:szCs w:val="26"/>
        </w:rPr>
        <w:t>2021-22</w:t>
      </w:r>
    </w:p>
    <w:tbl>
      <w:tblPr>
        <w:tblStyle w:val="TableGrid3"/>
        <w:tblW w:w="9782" w:type="dxa"/>
        <w:tblInd w:w="-431" w:type="dxa"/>
        <w:tblLook w:val="04A0" w:firstRow="1" w:lastRow="0" w:firstColumn="1" w:lastColumn="0" w:noHBand="0" w:noVBand="1"/>
      </w:tblPr>
      <w:tblGrid>
        <w:gridCol w:w="9782"/>
      </w:tblGrid>
      <w:tr w:rsidR="004868C9" w:rsidRPr="004868C9" w14:paraId="1589A162" w14:textId="77777777" w:rsidTr="004868C9">
        <w:trPr>
          <w:trHeight w:val="680"/>
        </w:trPr>
        <w:tc>
          <w:tcPr>
            <w:tcW w:w="9782" w:type="dxa"/>
            <w:shd w:val="clear" w:color="auto" w:fill="FFFFFF" w:themeFill="background1"/>
            <w:vAlign w:val="center"/>
          </w:tcPr>
          <w:p w14:paraId="54A9EA2D" w14:textId="37966586" w:rsidR="000B127C" w:rsidRPr="004868C9" w:rsidRDefault="000B127C" w:rsidP="008F0689">
            <w:r w:rsidRPr="004868C9">
              <w:t xml:space="preserve">Which phase of the accreditation cycle was the institution in during </w:t>
            </w:r>
            <w:r w:rsidR="008F0689" w:rsidRPr="004868C9">
              <w:t>2021-22</w:t>
            </w:r>
            <w:r w:rsidRPr="004868C9">
              <w:t xml:space="preserve"> (delete as applicable below) </w:t>
            </w:r>
            <w:r w:rsidR="004868C9">
              <w:t xml:space="preserve"> - </w:t>
            </w:r>
            <w:r w:rsidR="004868C9" w:rsidRPr="004868C9">
              <w:rPr>
                <w:rFonts w:ascii="Open Sans" w:hAnsi="Open Sans" w:cs="Open Sans"/>
              </w:rPr>
              <w:t>Preparing towards reaccreditation</w:t>
            </w:r>
          </w:p>
        </w:tc>
      </w:tr>
      <w:tr w:rsidR="004868C9" w:rsidRPr="004868C9" w14:paraId="4136D60D" w14:textId="77777777" w:rsidTr="004868C9">
        <w:trPr>
          <w:trHeight w:val="632"/>
        </w:trPr>
        <w:tc>
          <w:tcPr>
            <w:tcW w:w="9782" w:type="dxa"/>
            <w:shd w:val="clear" w:color="auto" w:fill="FFFFFF" w:themeFill="background1"/>
          </w:tcPr>
          <w:p w14:paraId="7DC31CDA" w14:textId="77777777" w:rsidR="000B127C" w:rsidRPr="004868C9" w:rsidRDefault="000B127C" w:rsidP="00867A64">
            <w:r w:rsidRPr="004868C9">
              <w:rPr>
                <w:rFonts w:eastAsia="Arial"/>
              </w:rPr>
              <w:t xml:space="preserve">Outline below key areas of focus related to scheme management during </w:t>
            </w:r>
            <w:r w:rsidR="00867A64" w:rsidRPr="004868C9">
              <w:rPr>
                <w:rFonts w:eastAsia="Arial"/>
              </w:rPr>
              <w:t>2021 - 2022</w:t>
            </w:r>
            <w:r w:rsidRPr="004868C9">
              <w:rPr>
                <w:rFonts w:eastAsia="Arial"/>
              </w:rPr>
              <w:t xml:space="preserve"> reporting period</w:t>
            </w:r>
          </w:p>
        </w:tc>
      </w:tr>
      <w:tr w:rsidR="004868C9" w:rsidRPr="004868C9" w14:paraId="49558383" w14:textId="77777777" w:rsidTr="00614503">
        <w:trPr>
          <w:trHeight w:val="569"/>
        </w:trPr>
        <w:tc>
          <w:tcPr>
            <w:tcW w:w="9782" w:type="dxa"/>
          </w:tcPr>
          <w:p w14:paraId="586DDFC9" w14:textId="57A2319C" w:rsidR="007A32C8" w:rsidRPr="004868C9" w:rsidRDefault="00DF75C4" w:rsidP="002A0654">
            <w:pPr>
              <w:jc w:val="both"/>
              <w:rPr>
                <w:rFonts w:ascii="Open Sans" w:hAnsi="Open Sans" w:cs="Open Sans"/>
                <w:sz w:val="22"/>
                <w:szCs w:val="22"/>
              </w:rPr>
            </w:pPr>
            <w:r w:rsidRPr="004868C9">
              <w:rPr>
                <w:rFonts w:ascii="Open Sans" w:hAnsi="Open Sans" w:cs="Open Sans"/>
                <w:sz w:val="22"/>
                <w:szCs w:val="22"/>
              </w:rPr>
              <w:t>Several areas related to scheme management have been addressed under other headings, to address identified problems, such as low engagement by Associate Lecturers and the high referral rate at AFHEA and to ensure sustainability in the light of increasing workload pressures.  Additionally, the 2020-21 academic year has been utilised as an opportunity to pilot strategies such as a more formalized submission process and group approaches to supporting Fellowship applications through Fellowship Peer Support Circles as preparation for the reaccreditation redesign for submission in October 2022.</w:t>
            </w:r>
          </w:p>
          <w:p w14:paraId="0A2F0813" w14:textId="77777777" w:rsidR="000B127C" w:rsidRPr="004868C9" w:rsidRDefault="000B127C" w:rsidP="00C74BA8"/>
        </w:tc>
      </w:tr>
    </w:tbl>
    <w:p w14:paraId="70A324C9" w14:textId="77777777" w:rsidR="000B127C" w:rsidRPr="004868C9" w:rsidRDefault="000B127C" w:rsidP="000B127C"/>
    <w:p w14:paraId="3DC717F3" w14:textId="77777777" w:rsidR="000B127C" w:rsidRPr="004868C9" w:rsidRDefault="003E3744" w:rsidP="000B127C">
      <w:pPr>
        <w:keepNext/>
        <w:keepLines/>
        <w:spacing w:before="200" w:after="220"/>
        <w:jc w:val="both"/>
        <w:outlineLvl w:val="2"/>
        <w:rPr>
          <w:rFonts w:eastAsiaTheme="majorEastAsia" w:cs="Arial"/>
          <w:b/>
          <w:bCs/>
          <w:sz w:val="26"/>
          <w:szCs w:val="26"/>
        </w:rPr>
      </w:pPr>
      <w:r w:rsidRPr="004868C9">
        <w:rPr>
          <w:rFonts w:eastAsiaTheme="majorEastAsia" w:cs="Arial"/>
          <w:b/>
          <w:bCs/>
          <w:sz w:val="26"/>
          <w:szCs w:val="26"/>
        </w:rPr>
        <w:t>Section 3 Part c</w:t>
      </w:r>
      <w:r w:rsidR="000B127C" w:rsidRPr="004868C9">
        <w:rPr>
          <w:rFonts w:eastAsiaTheme="majorEastAsia" w:cs="Arial"/>
          <w:b/>
          <w:bCs/>
          <w:sz w:val="26"/>
          <w:szCs w:val="26"/>
        </w:rPr>
        <w:t xml:space="preserve">: </w:t>
      </w:r>
      <w:bookmarkStart w:id="0" w:name="_Toc518367575"/>
      <w:r w:rsidR="000B127C" w:rsidRPr="004868C9">
        <w:rPr>
          <w:rFonts w:eastAsiaTheme="majorEastAsia" w:cs="Arial"/>
          <w:b/>
          <w:bCs/>
          <w:sz w:val="26"/>
          <w:szCs w:val="26"/>
        </w:rPr>
        <w:t>External reviewers/assessors/mentors involved in the scheme and key staff changes in</w:t>
      </w:r>
      <w:bookmarkStart w:id="1" w:name="_Toc518367576"/>
      <w:bookmarkEnd w:id="0"/>
      <w:r w:rsidR="000B127C" w:rsidRPr="004868C9">
        <w:rPr>
          <w:rFonts w:eastAsiaTheme="majorEastAsia" w:cs="Arial"/>
          <w:b/>
          <w:bCs/>
          <w:sz w:val="26"/>
          <w:szCs w:val="26"/>
        </w:rPr>
        <w:t xml:space="preserve"> </w:t>
      </w:r>
      <w:bookmarkEnd w:id="1"/>
      <w:r w:rsidR="008F0689" w:rsidRPr="004868C9">
        <w:rPr>
          <w:rFonts w:eastAsiaTheme="majorEastAsia" w:cs="Arial"/>
          <w:b/>
          <w:bCs/>
          <w:sz w:val="26"/>
          <w:szCs w:val="26"/>
        </w:rPr>
        <w:t>2021-22</w:t>
      </w:r>
    </w:p>
    <w:p w14:paraId="19EE9288" w14:textId="77777777" w:rsidR="000B127C" w:rsidRPr="004868C9" w:rsidRDefault="000B127C" w:rsidP="000B127C">
      <w:pPr>
        <w:spacing w:before="220" w:after="220"/>
      </w:pPr>
      <w:r w:rsidRPr="004868C9">
        <w:t>In the table below, please provide</w:t>
      </w:r>
      <w:r w:rsidRPr="004868C9">
        <w:rPr>
          <w:spacing w:val="-3"/>
        </w:rPr>
        <w:t xml:space="preserve"> </w:t>
      </w:r>
      <w:r w:rsidRPr="004868C9">
        <w:t xml:space="preserve">the </w:t>
      </w:r>
      <w:r w:rsidRPr="004868C9">
        <w:rPr>
          <w:spacing w:val="-2"/>
        </w:rPr>
        <w:t>name and details about any External Examiners/Reviewers/Mentors appointed to your accredited scheme.</w:t>
      </w:r>
    </w:p>
    <w:tbl>
      <w:tblPr>
        <w:tblStyle w:val="TableGrid3"/>
        <w:tblW w:w="9782" w:type="dxa"/>
        <w:tblInd w:w="-431" w:type="dxa"/>
        <w:tblLook w:val="04A0" w:firstRow="1" w:lastRow="0" w:firstColumn="1" w:lastColumn="0" w:noHBand="0" w:noVBand="1"/>
      </w:tblPr>
      <w:tblGrid>
        <w:gridCol w:w="2389"/>
        <w:gridCol w:w="2284"/>
        <w:gridCol w:w="1423"/>
        <w:gridCol w:w="3686"/>
      </w:tblGrid>
      <w:tr w:rsidR="004868C9" w:rsidRPr="004868C9" w14:paraId="4BADCD63" w14:textId="77777777" w:rsidTr="004868C9">
        <w:tc>
          <w:tcPr>
            <w:tcW w:w="2389" w:type="dxa"/>
            <w:shd w:val="clear" w:color="auto" w:fill="FFFFFF" w:themeFill="background1"/>
            <w:vAlign w:val="center"/>
          </w:tcPr>
          <w:p w14:paraId="7078294B" w14:textId="77777777" w:rsidR="000B127C" w:rsidRPr="004868C9" w:rsidRDefault="000B127C" w:rsidP="00C74BA8">
            <w:pPr>
              <w:spacing w:before="220" w:after="220"/>
            </w:pPr>
            <w:r w:rsidRPr="004868C9">
              <w:t xml:space="preserve">Name of External </w:t>
            </w:r>
          </w:p>
        </w:tc>
        <w:tc>
          <w:tcPr>
            <w:tcW w:w="2284" w:type="dxa"/>
            <w:shd w:val="clear" w:color="auto" w:fill="FFFFFF" w:themeFill="background1"/>
            <w:vAlign w:val="center"/>
          </w:tcPr>
          <w:p w14:paraId="4CD523CC" w14:textId="77777777" w:rsidR="000B127C" w:rsidRPr="004868C9" w:rsidRDefault="000B127C" w:rsidP="00C74BA8">
            <w:pPr>
              <w:spacing w:before="220" w:after="220"/>
            </w:pPr>
            <w:r w:rsidRPr="004868C9">
              <w:t>Employing Institution or Independent</w:t>
            </w:r>
          </w:p>
        </w:tc>
        <w:tc>
          <w:tcPr>
            <w:tcW w:w="1423" w:type="dxa"/>
            <w:shd w:val="clear" w:color="auto" w:fill="FFFFFF" w:themeFill="background1"/>
            <w:vAlign w:val="center"/>
          </w:tcPr>
          <w:p w14:paraId="27CB2533" w14:textId="77777777" w:rsidR="000B127C" w:rsidRPr="004868C9" w:rsidRDefault="000B127C" w:rsidP="00C74BA8">
            <w:pPr>
              <w:spacing w:before="220" w:after="220"/>
            </w:pPr>
            <w:r w:rsidRPr="004868C9">
              <w:t>Fellowship Status</w:t>
            </w:r>
          </w:p>
        </w:tc>
        <w:tc>
          <w:tcPr>
            <w:tcW w:w="3686" w:type="dxa"/>
            <w:shd w:val="clear" w:color="auto" w:fill="FFFFFF" w:themeFill="background1"/>
            <w:vAlign w:val="center"/>
          </w:tcPr>
          <w:p w14:paraId="375ED212" w14:textId="77777777" w:rsidR="000B127C" w:rsidRPr="004868C9" w:rsidRDefault="000B127C" w:rsidP="00C74BA8">
            <w:pPr>
              <w:spacing w:before="220" w:after="220"/>
            </w:pPr>
            <w:r w:rsidRPr="004868C9">
              <w:t>Role (</w:t>
            </w:r>
            <w:proofErr w:type="gramStart"/>
            <w:r w:rsidRPr="004868C9">
              <w:t>e.g.</w:t>
            </w:r>
            <w:proofErr w:type="gramEnd"/>
            <w:r w:rsidRPr="004868C9">
              <w:t xml:space="preserve"> external reviewer/examiner or mentor)</w:t>
            </w:r>
          </w:p>
        </w:tc>
      </w:tr>
      <w:tr w:rsidR="004868C9" w:rsidRPr="004868C9" w14:paraId="7DB94C07" w14:textId="77777777" w:rsidTr="00614503">
        <w:trPr>
          <w:trHeight w:val="397"/>
        </w:trPr>
        <w:tc>
          <w:tcPr>
            <w:tcW w:w="2389" w:type="dxa"/>
            <w:vAlign w:val="center"/>
          </w:tcPr>
          <w:p w14:paraId="65AD286D" w14:textId="17B083D9" w:rsidR="00DD04B4" w:rsidRPr="004868C9" w:rsidRDefault="00DD04B4" w:rsidP="00DD04B4">
            <w:r w:rsidRPr="004868C9">
              <w:rPr>
                <w:rFonts w:ascii="Open Sans" w:hAnsi="Open Sans" w:cs="Open Sans"/>
                <w:sz w:val="22"/>
                <w:szCs w:val="22"/>
              </w:rPr>
              <w:t>Julie Baldry-Currens</w:t>
            </w:r>
          </w:p>
        </w:tc>
        <w:tc>
          <w:tcPr>
            <w:tcW w:w="2284" w:type="dxa"/>
            <w:vAlign w:val="center"/>
          </w:tcPr>
          <w:p w14:paraId="3EF4D928" w14:textId="69BEC797" w:rsidR="00DD04B4" w:rsidRPr="004868C9" w:rsidRDefault="00DD04B4" w:rsidP="00DD04B4">
            <w:r w:rsidRPr="004868C9">
              <w:rPr>
                <w:rFonts w:ascii="Open Sans" w:hAnsi="Open Sans" w:cs="Open Sans"/>
                <w:sz w:val="22"/>
                <w:szCs w:val="22"/>
              </w:rPr>
              <w:t>Independent</w:t>
            </w:r>
          </w:p>
        </w:tc>
        <w:tc>
          <w:tcPr>
            <w:tcW w:w="1423" w:type="dxa"/>
            <w:vAlign w:val="center"/>
          </w:tcPr>
          <w:p w14:paraId="523B9B29" w14:textId="56FBC8B1" w:rsidR="00DD04B4" w:rsidRPr="004868C9" w:rsidRDefault="00DD04B4" w:rsidP="00DD04B4">
            <w:r w:rsidRPr="004868C9">
              <w:rPr>
                <w:rFonts w:ascii="Open Sans" w:hAnsi="Open Sans" w:cs="Open Sans"/>
                <w:sz w:val="22"/>
                <w:szCs w:val="22"/>
              </w:rPr>
              <w:t>PFHEA</w:t>
            </w:r>
          </w:p>
        </w:tc>
        <w:tc>
          <w:tcPr>
            <w:tcW w:w="3686" w:type="dxa"/>
            <w:vAlign w:val="center"/>
          </w:tcPr>
          <w:p w14:paraId="53BC669C" w14:textId="144F0A2A" w:rsidR="00DD04B4" w:rsidRPr="004868C9" w:rsidRDefault="00DD04B4" w:rsidP="00DD04B4">
            <w:r w:rsidRPr="004868C9">
              <w:rPr>
                <w:rFonts w:ascii="Open Sans" w:hAnsi="Open Sans" w:cs="Open Sans"/>
                <w:sz w:val="22"/>
                <w:szCs w:val="22"/>
              </w:rPr>
              <w:t>Lead External – External Examiner role</w:t>
            </w:r>
          </w:p>
        </w:tc>
      </w:tr>
      <w:tr w:rsidR="004868C9" w:rsidRPr="004868C9" w14:paraId="2D40E317" w14:textId="77777777" w:rsidTr="00614503">
        <w:trPr>
          <w:trHeight w:val="397"/>
        </w:trPr>
        <w:tc>
          <w:tcPr>
            <w:tcW w:w="2389" w:type="dxa"/>
            <w:vAlign w:val="center"/>
          </w:tcPr>
          <w:p w14:paraId="48A6B52F" w14:textId="3745BB42" w:rsidR="00DD04B4" w:rsidRPr="004868C9" w:rsidRDefault="00DD04B4" w:rsidP="00DD04B4">
            <w:r w:rsidRPr="004868C9">
              <w:rPr>
                <w:rFonts w:ascii="Open Sans" w:hAnsi="Open Sans" w:cs="Open Sans"/>
                <w:sz w:val="22"/>
                <w:szCs w:val="22"/>
              </w:rPr>
              <w:t>Barbara Thomas</w:t>
            </w:r>
          </w:p>
        </w:tc>
        <w:tc>
          <w:tcPr>
            <w:tcW w:w="2284" w:type="dxa"/>
            <w:vAlign w:val="center"/>
          </w:tcPr>
          <w:p w14:paraId="3E81A3AA" w14:textId="092DB031" w:rsidR="00DD04B4" w:rsidRPr="004868C9" w:rsidRDefault="00DD04B4" w:rsidP="00DD04B4">
            <w:r w:rsidRPr="004868C9">
              <w:rPr>
                <w:rFonts w:ascii="Open Sans" w:hAnsi="Open Sans" w:cs="Open Sans"/>
                <w:sz w:val="22"/>
                <w:szCs w:val="22"/>
              </w:rPr>
              <w:t>Independent</w:t>
            </w:r>
          </w:p>
        </w:tc>
        <w:tc>
          <w:tcPr>
            <w:tcW w:w="1423" w:type="dxa"/>
            <w:vAlign w:val="center"/>
          </w:tcPr>
          <w:p w14:paraId="0E709790" w14:textId="38CCF9C7" w:rsidR="00DD04B4" w:rsidRPr="004868C9" w:rsidRDefault="00DD04B4" w:rsidP="00DD04B4">
            <w:r w:rsidRPr="004868C9">
              <w:rPr>
                <w:rFonts w:ascii="Open Sans" w:hAnsi="Open Sans" w:cs="Open Sans"/>
                <w:sz w:val="22"/>
                <w:szCs w:val="22"/>
              </w:rPr>
              <w:t>PFHEA</w:t>
            </w:r>
          </w:p>
        </w:tc>
        <w:tc>
          <w:tcPr>
            <w:tcW w:w="3686" w:type="dxa"/>
          </w:tcPr>
          <w:p w14:paraId="10732AE2" w14:textId="2A97270E" w:rsidR="00DD04B4" w:rsidRPr="004868C9" w:rsidRDefault="00DD04B4" w:rsidP="00DD04B4">
            <w:r w:rsidRPr="004868C9">
              <w:rPr>
                <w:rFonts w:ascii="Open Sans" w:hAnsi="Open Sans" w:cs="Open Sans"/>
                <w:sz w:val="22"/>
                <w:szCs w:val="22"/>
              </w:rPr>
              <w:t>External member of assessment panel</w:t>
            </w:r>
          </w:p>
        </w:tc>
      </w:tr>
    </w:tbl>
    <w:p w14:paraId="2D54ABAB" w14:textId="77777777" w:rsidR="000B127C" w:rsidRPr="004868C9" w:rsidRDefault="000B127C" w:rsidP="000B127C">
      <w:pPr>
        <w:spacing w:before="220" w:after="220"/>
        <w:rPr>
          <w:sz w:val="22"/>
        </w:rPr>
      </w:pPr>
      <w:r w:rsidRPr="004868C9">
        <w:rPr>
          <w:sz w:val="22"/>
        </w:rPr>
        <w:lastRenderedPageBreak/>
        <w:t>*Please add lines if required</w:t>
      </w:r>
    </w:p>
    <w:p w14:paraId="244A8F72" w14:textId="77777777" w:rsidR="000B127C" w:rsidRPr="004868C9" w:rsidRDefault="000B127C" w:rsidP="000B127C">
      <w:r w:rsidRPr="004868C9">
        <w:t>Key staff changes – please complete the table below if relevant:</w:t>
      </w:r>
    </w:p>
    <w:p w14:paraId="5B6DD776" w14:textId="77777777" w:rsidR="000B127C" w:rsidRPr="004868C9" w:rsidRDefault="000B127C" w:rsidP="000B127C">
      <w:pPr>
        <w:rPr>
          <w:b/>
        </w:rPr>
      </w:pPr>
    </w:p>
    <w:tbl>
      <w:tblPr>
        <w:tblStyle w:val="TableGrid"/>
        <w:tblW w:w="9782" w:type="dxa"/>
        <w:tblInd w:w="-431" w:type="dxa"/>
        <w:tblLook w:val="04A0" w:firstRow="1" w:lastRow="0" w:firstColumn="1" w:lastColumn="0" w:noHBand="0" w:noVBand="1"/>
      </w:tblPr>
      <w:tblGrid>
        <w:gridCol w:w="9782"/>
      </w:tblGrid>
      <w:tr w:rsidR="004868C9" w:rsidRPr="004868C9" w14:paraId="4B089EA7" w14:textId="77777777" w:rsidTr="004868C9">
        <w:tc>
          <w:tcPr>
            <w:tcW w:w="9782" w:type="dxa"/>
            <w:shd w:val="clear" w:color="auto" w:fill="FFFFFF" w:themeFill="background1"/>
          </w:tcPr>
          <w:p w14:paraId="1FEFBBE9" w14:textId="77777777" w:rsidR="000B127C" w:rsidRPr="004868C9" w:rsidRDefault="000B127C" w:rsidP="00867A64">
            <w:pPr>
              <w:spacing w:before="220" w:after="220"/>
              <w:rPr>
                <w:b/>
              </w:rPr>
            </w:pPr>
            <w:r w:rsidRPr="004868C9">
              <w:t xml:space="preserve">Provide details of any staff changes/ new staff involved in delivery/management of the scheme during </w:t>
            </w:r>
            <w:r w:rsidR="00867A64" w:rsidRPr="004868C9">
              <w:t>2021-2022</w:t>
            </w:r>
          </w:p>
        </w:tc>
      </w:tr>
      <w:tr w:rsidR="004868C9" w:rsidRPr="004868C9" w14:paraId="43E684A7" w14:textId="77777777" w:rsidTr="00614503">
        <w:trPr>
          <w:trHeight w:val="1587"/>
        </w:trPr>
        <w:tc>
          <w:tcPr>
            <w:tcW w:w="9782" w:type="dxa"/>
          </w:tcPr>
          <w:p w14:paraId="24BB51AC" w14:textId="77777777" w:rsidR="000B127C" w:rsidRPr="004868C9" w:rsidRDefault="000B127C" w:rsidP="00C74BA8"/>
          <w:p w14:paraId="577445CA" w14:textId="7709F57E" w:rsidR="002C544E" w:rsidRPr="004868C9" w:rsidRDefault="002C544E" w:rsidP="002A0654">
            <w:pPr>
              <w:jc w:val="both"/>
              <w:rPr>
                <w:rFonts w:ascii="Open Sans" w:hAnsi="Open Sans" w:cs="Open Sans"/>
                <w:sz w:val="22"/>
                <w:szCs w:val="22"/>
              </w:rPr>
            </w:pPr>
            <w:r w:rsidRPr="004868C9">
              <w:rPr>
                <w:rFonts w:ascii="Open Sans" w:hAnsi="Open Sans" w:cs="Open Sans"/>
                <w:sz w:val="22"/>
                <w:szCs w:val="22"/>
              </w:rPr>
              <w:t xml:space="preserve">Dr Shirley Bennett left her role as Head of Academic Practice at the University of Northampton in September 2022 but led the scheme during the 2021-22 academic year. Due to the previous disbandment of The Institute for Learning and Teaching in 2021, the scheme has been incorporated within the Learning and Teaching Enhancement unit, operating alongside Academic Integrity, Educational Linguistics, Learning Design Team, and Learning Development. </w:t>
            </w:r>
          </w:p>
          <w:p w14:paraId="22A63F36" w14:textId="77777777" w:rsidR="002C544E" w:rsidRPr="004868C9" w:rsidRDefault="002C544E" w:rsidP="002C544E">
            <w:pPr>
              <w:rPr>
                <w:rFonts w:cs="Arial"/>
                <w:sz w:val="22"/>
                <w:szCs w:val="22"/>
              </w:rPr>
            </w:pPr>
          </w:p>
          <w:p w14:paraId="5ED3B283" w14:textId="77777777" w:rsidR="002C544E" w:rsidRPr="004868C9" w:rsidRDefault="002C544E" w:rsidP="002C544E">
            <w:pPr>
              <w:rPr>
                <w:rFonts w:ascii="Open Sans" w:hAnsi="Open Sans" w:cs="Open Sans"/>
                <w:sz w:val="22"/>
                <w:szCs w:val="22"/>
              </w:rPr>
            </w:pPr>
            <w:r w:rsidRPr="004868C9">
              <w:rPr>
                <w:rFonts w:ascii="Open Sans" w:hAnsi="Open Sans" w:cs="Open Sans"/>
                <w:sz w:val="22"/>
                <w:szCs w:val="22"/>
              </w:rPr>
              <w:t>As in other years, there have been changes in terms of the delivery of the scheme:</w:t>
            </w:r>
          </w:p>
          <w:p w14:paraId="7A7438C2" w14:textId="77777777" w:rsidR="002C544E" w:rsidRPr="004868C9" w:rsidRDefault="002C544E" w:rsidP="002C544E">
            <w:pPr>
              <w:rPr>
                <w:rFonts w:ascii="Open Sans" w:hAnsi="Open Sans" w:cs="Open Sans"/>
                <w:sz w:val="22"/>
                <w:szCs w:val="22"/>
              </w:rPr>
            </w:pPr>
          </w:p>
          <w:p w14:paraId="57B25D44" w14:textId="77777777" w:rsidR="002C544E" w:rsidRPr="004868C9" w:rsidRDefault="002C544E" w:rsidP="002C544E">
            <w:pPr>
              <w:pStyle w:val="ListParagraph"/>
              <w:numPr>
                <w:ilvl w:val="0"/>
                <w:numId w:val="7"/>
              </w:numPr>
              <w:rPr>
                <w:rFonts w:ascii="Open Sans" w:hAnsi="Open Sans" w:cs="Open Sans"/>
                <w:sz w:val="22"/>
                <w:szCs w:val="22"/>
              </w:rPr>
            </w:pPr>
            <w:r w:rsidRPr="004868C9">
              <w:rPr>
                <w:rFonts w:ascii="Open Sans" w:hAnsi="Open Sans" w:cs="Open Sans"/>
                <w:sz w:val="22"/>
                <w:szCs w:val="22"/>
              </w:rPr>
              <w:t>the C@N-DO Assessment Panel has been maintained, and the Lead External has been involved in supporting the integration of the new members into the panel and the development of confidence in their judgements</w:t>
            </w:r>
          </w:p>
          <w:p w14:paraId="70B0DE08" w14:textId="77777777" w:rsidR="002C544E" w:rsidRPr="004868C9" w:rsidRDefault="002C544E" w:rsidP="002C544E">
            <w:pPr>
              <w:pStyle w:val="ListParagraph"/>
              <w:numPr>
                <w:ilvl w:val="0"/>
                <w:numId w:val="7"/>
              </w:numPr>
              <w:rPr>
                <w:rFonts w:ascii="Open Sans" w:hAnsi="Open Sans" w:cs="Open Sans"/>
                <w:sz w:val="22"/>
                <w:szCs w:val="22"/>
              </w:rPr>
            </w:pPr>
            <w:r w:rsidRPr="004868C9">
              <w:rPr>
                <w:rFonts w:ascii="Open Sans" w:hAnsi="Open Sans" w:cs="Open Sans"/>
                <w:sz w:val="22"/>
                <w:szCs w:val="22"/>
              </w:rPr>
              <w:t xml:space="preserve">the system of ‘mentoring’ has continued with involvement of Deans in the identification of Faculty Fellowship Champions.  </w:t>
            </w:r>
          </w:p>
          <w:p w14:paraId="4C42BB10" w14:textId="77777777" w:rsidR="002C544E" w:rsidRPr="004868C9" w:rsidRDefault="002C544E" w:rsidP="002C544E">
            <w:pPr>
              <w:pStyle w:val="ListParagraph"/>
              <w:numPr>
                <w:ilvl w:val="0"/>
                <w:numId w:val="7"/>
              </w:numPr>
              <w:rPr>
                <w:rFonts w:ascii="Open Sans" w:hAnsi="Open Sans" w:cs="Open Sans"/>
              </w:rPr>
            </w:pPr>
            <w:r w:rsidRPr="004868C9">
              <w:rPr>
                <w:rFonts w:ascii="Open Sans" w:hAnsi="Open Sans" w:cs="Open Sans"/>
                <w:sz w:val="22"/>
                <w:szCs w:val="22"/>
              </w:rPr>
              <w:t xml:space="preserve">the provision of workshops within the scheme is deliberately flexible, to respond to institutional needs; thus, the team of colleagues involved in workshop delivery evolved in 2021-22 as in other years, with all provision, and alignment to the PSF, managed by the scheme leader.  </w:t>
            </w:r>
          </w:p>
          <w:p w14:paraId="413907A1" w14:textId="57BAE7CC" w:rsidR="000B127C" w:rsidRPr="004868C9" w:rsidRDefault="002C544E" w:rsidP="002A0654">
            <w:pPr>
              <w:jc w:val="both"/>
              <w:rPr>
                <w:rFonts w:ascii="Open Sans" w:hAnsi="Open Sans" w:cs="Open Sans"/>
              </w:rPr>
            </w:pPr>
            <w:r w:rsidRPr="004868C9">
              <w:rPr>
                <w:rFonts w:ascii="Open Sans" w:hAnsi="Open Sans" w:cs="Open Sans"/>
                <w:sz w:val="22"/>
                <w:szCs w:val="22"/>
              </w:rPr>
              <w:t xml:space="preserve">Julie Baldry-Currens tenure as Lead External ceased at the end of 2021-22 and a new Lead Examiner has been appointed, </w:t>
            </w:r>
            <w:r w:rsidR="004729FE" w:rsidRPr="004868C9">
              <w:rPr>
                <w:rFonts w:ascii="Open Sans" w:hAnsi="Open Sans" w:cs="Open Sans"/>
                <w:sz w:val="22"/>
                <w:szCs w:val="22"/>
              </w:rPr>
              <w:t xml:space="preserve">Dr </w:t>
            </w:r>
            <w:r w:rsidR="00F20019" w:rsidRPr="004868C9">
              <w:rPr>
                <w:rFonts w:ascii="Open Sans" w:hAnsi="Open Sans" w:cs="Open Sans"/>
                <w:sz w:val="22"/>
                <w:szCs w:val="22"/>
              </w:rPr>
              <w:t>Duncan Jackson, Head of Academic Practice, University of York.</w:t>
            </w:r>
          </w:p>
        </w:tc>
      </w:tr>
    </w:tbl>
    <w:p w14:paraId="7D7BDA59" w14:textId="77777777" w:rsidR="000B127C" w:rsidRPr="004868C9" w:rsidRDefault="000B127C" w:rsidP="000B127C">
      <w:pPr>
        <w:keepNext/>
        <w:keepLines/>
        <w:spacing w:before="40" w:after="220"/>
        <w:outlineLvl w:val="1"/>
        <w:rPr>
          <w:rFonts w:eastAsiaTheme="majorEastAsia" w:cs="Arial"/>
          <w:b/>
          <w:sz w:val="28"/>
          <w:szCs w:val="28"/>
          <w:lang w:val="en-US"/>
        </w:rPr>
      </w:pPr>
      <w:r w:rsidRPr="004868C9">
        <w:rPr>
          <w:rFonts w:eastAsiaTheme="majorEastAsia" w:cs="Arial"/>
          <w:b/>
          <w:sz w:val="28"/>
          <w:szCs w:val="28"/>
          <w:lang w:val="en-US"/>
        </w:rPr>
        <w:t xml:space="preserve">Section 4: Engagement with Advance HE </w:t>
      </w:r>
    </w:p>
    <w:tbl>
      <w:tblPr>
        <w:tblStyle w:val="TableGrid3"/>
        <w:tblW w:w="9782" w:type="dxa"/>
        <w:tblInd w:w="-431" w:type="dxa"/>
        <w:tblLook w:val="04A0" w:firstRow="1" w:lastRow="0" w:firstColumn="1" w:lastColumn="0" w:noHBand="0" w:noVBand="1"/>
      </w:tblPr>
      <w:tblGrid>
        <w:gridCol w:w="9782"/>
      </w:tblGrid>
      <w:tr w:rsidR="004868C9" w:rsidRPr="004868C9" w14:paraId="7864A46A" w14:textId="77777777" w:rsidTr="004868C9">
        <w:trPr>
          <w:trHeight w:val="680"/>
        </w:trPr>
        <w:tc>
          <w:tcPr>
            <w:tcW w:w="9782" w:type="dxa"/>
            <w:shd w:val="clear" w:color="auto" w:fill="FFFFFF" w:themeFill="background1"/>
            <w:vAlign w:val="center"/>
          </w:tcPr>
          <w:p w14:paraId="137486D0" w14:textId="77777777" w:rsidR="000B127C" w:rsidRPr="004868C9" w:rsidRDefault="000B127C" w:rsidP="00867A64">
            <w:r w:rsidRPr="004868C9">
              <w:t xml:space="preserve">Please comment on your engagement with Advance HE in </w:t>
            </w:r>
            <w:r w:rsidR="00867A64" w:rsidRPr="004868C9">
              <w:t>2021-2022</w:t>
            </w:r>
            <w:r w:rsidRPr="004868C9">
              <w:t xml:space="preserve"> </w:t>
            </w:r>
          </w:p>
        </w:tc>
      </w:tr>
      <w:tr w:rsidR="004868C9" w:rsidRPr="004868C9" w14:paraId="5411CA4B" w14:textId="77777777" w:rsidTr="00614503">
        <w:trPr>
          <w:trHeight w:val="1671"/>
        </w:trPr>
        <w:tc>
          <w:tcPr>
            <w:tcW w:w="9782" w:type="dxa"/>
          </w:tcPr>
          <w:p w14:paraId="03A064CF" w14:textId="77777777" w:rsidR="00DE5E5D" w:rsidRPr="004868C9" w:rsidRDefault="00DE5E5D" w:rsidP="00DE5E5D">
            <w:pPr>
              <w:rPr>
                <w:rFonts w:ascii="Open Sans" w:hAnsi="Open Sans" w:cs="Open Sans"/>
                <w:sz w:val="22"/>
                <w:szCs w:val="22"/>
              </w:rPr>
            </w:pPr>
            <w:r w:rsidRPr="004868C9">
              <w:rPr>
                <w:rFonts w:ascii="Open Sans" w:hAnsi="Open Sans" w:cs="Open Sans"/>
                <w:sz w:val="22"/>
                <w:szCs w:val="22"/>
              </w:rPr>
              <w:t xml:space="preserve">Dr Shirley Bennett, as the Lead of the University of Northampton accredited provision has participated in several events with </w:t>
            </w:r>
            <w:proofErr w:type="gramStart"/>
            <w:r w:rsidRPr="004868C9">
              <w:rPr>
                <w:rFonts w:ascii="Open Sans" w:hAnsi="Open Sans" w:cs="Open Sans"/>
                <w:sz w:val="22"/>
                <w:szCs w:val="22"/>
              </w:rPr>
              <w:t>Advance</w:t>
            </w:r>
            <w:proofErr w:type="gramEnd"/>
            <w:r w:rsidRPr="004868C9">
              <w:rPr>
                <w:rFonts w:ascii="Open Sans" w:hAnsi="Open Sans" w:cs="Open Sans"/>
                <w:sz w:val="22"/>
                <w:szCs w:val="22"/>
              </w:rPr>
              <w:t xml:space="preserve"> HE during 2021-22. Including:</w:t>
            </w:r>
          </w:p>
          <w:p w14:paraId="3B48106D" w14:textId="77777777" w:rsidR="00DE5E5D" w:rsidRPr="004868C9" w:rsidRDefault="00DE5E5D" w:rsidP="00DE5E5D">
            <w:pPr>
              <w:pStyle w:val="ListParagraph"/>
              <w:numPr>
                <w:ilvl w:val="0"/>
                <w:numId w:val="8"/>
              </w:numPr>
              <w:rPr>
                <w:rFonts w:ascii="Open Sans" w:hAnsi="Open Sans" w:cs="Open Sans"/>
                <w:sz w:val="22"/>
                <w:szCs w:val="22"/>
              </w:rPr>
            </w:pPr>
            <w:r w:rsidRPr="004868C9">
              <w:rPr>
                <w:rFonts w:ascii="Open Sans" w:hAnsi="Open Sans" w:cs="Open Sans"/>
                <w:sz w:val="22"/>
                <w:szCs w:val="22"/>
              </w:rPr>
              <w:t xml:space="preserve">Meetings of the Accredited Programme Leaders Network (APLN </w:t>
            </w:r>
          </w:p>
          <w:p w14:paraId="56AAEB0C" w14:textId="77777777" w:rsidR="00DE5E5D" w:rsidRPr="004868C9" w:rsidRDefault="00DE5E5D" w:rsidP="00DE5E5D">
            <w:pPr>
              <w:rPr>
                <w:rFonts w:ascii="Open Sans" w:hAnsi="Open Sans" w:cs="Open Sans"/>
                <w:sz w:val="22"/>
                <w:szCs w:val="22"/>
              </w:rPr>
            </w:pPr>
          </w:p>
          <w:p w14:paraId="76080485" w14:textId="77777777" w:rsidR="00DE5E5D" w:rsidRPr="004868C9" w:rsidRDefault="00DE5E5D" w:rsidP="00DE5E5D">
            <w:pPr>
              <w:rPr>
                <w:rFonts w:ascii="Open Sans" w:hAnsi="Open Sans" w:cs="Open Sans"/>
                <w:sz w:val="22"/>
                <w:szCs w:val="22"/>
              </w:rPr>
            </w:pPr>
            <w:r w:rsidRPr="004868C9">
              <w:rPr>
                <w:rFonts w:ascii="Open Sans" w:hAnsi="Open Sans" w:cs="Open Sans"/>
                <w:sz w:val="22"/>
                <w:szCs w:val="22"/>
              </w:rPr>
              <w:t xml:space="preserve">These meetings always provide an opportunity to discuss shared challenges, an update on matters pertaining to the PSF, accreditation and recognition, and a source of new ideas for adaptation locally. </w:t>
            </w:r>
          </w:p>
          <w:p w14:paraId="2CA2685D" w14:textId="77777777" w:rsidR="00DE5E5D" w:rsidRPr="004868C9" w:rsidRDefault="00DE5E5D" w:rsidP="00DE5E5D">
            <w:pPr>
              <w:rPr>
                <w:rFonts w:ascii="Open Sans" w:hAnsi="Open Sans" w:cs="Open Sans"/>
                <w:sz w:val="22"/>
                <w:szCs w:val="22"/>
              </w:rPr>
            </w:pPr>
          </w:p>
          <w:p w14:paraId="6D8A8FF9" w14:textId="77777777" w:rsidR="00DE5E5D" w:rsidRPr="004868C9" w:rsidRDefault="00DE5E5D" w:rsidP="00DE5E5D">
            <w:pPr>
              <w:pStyle w:val="ListParagraph"/>
              <w:numPr>
                <w:ilvl w:val="0"/>
                <w:numId w:val="8"/>
              </w:numPr>
              <w:rPr>
                <w:rFonts w:ascii="Open Sans" w:hAnsi="Open Sans" w:cs="Open Sans"/>
                <w:sz w:val="22"/>
                <w:szCs w:val="22"/>
              </w:rPr>
            </w:pPr>
            <w:r w:rsidRPr="004868C9">
              <w:rPr>
                <w:rFonts w:ascii="Open Sans" w:hAnsi="Open Sans" w:cs="Open Sans"/>
                <w:sz w:val="22"/>
                <w:szCs w:val="22"/>
              </w:rPr>
              <w:t>Advance HE Calibration events</w:t>
            </w:r>
          </w:p>
          <w:p w14:paraId="7176E9E7" w14:textId="77777777" w:rsidR="00DE5E5D" w:rsidRPr="004868C9" w:rsidRDefault="00DE5E5D" w:rsidP="009F25EF">
            <w:pPr>
              <w:jc w:val="both"/>
              <w:rPr>
                <w:rFonts w:ascii="Open Sans" w:hAnsi="Open Sans" w:cs="Open Sans"/>
                <w:sz w:val="22"/>
                <w:szCs w:val="22"/>
              </w:rPr>
            </w:pPr>
            <w:r w:rsidRPr="004868C9">
              <w:rPr>
                <w:rFonts w:ascii="Open Sans" w:hAnsi="Open Sans" w:cs="Open Sans"/>
                <w:sz w:val="22"/>
                <w:szCs w:val="22"/>
              </w:rPr>
              <w:t xml:space="preserve">These provide vital reassurance and guidance regarding the calibration of Fellowship judgements, which in turn feeds back into my oversight and support of Fellowship judgements made internally.  </w:t>
            </w:r>
          </w:p>
          <w:p w14:paraId="79F82F56" w14:textId="77777777" w:rsidR="00DE5E5D" w:rsidRPr="004868C9" w:rsidRDefault="00DE5E5D" w:rsidP="00DE5E5D">
            <w:pPr>
              <w:rPr>
                <w:rFonts w:ascii="Open Sans" w:hAnsi="Open Sans" w:cs="Open Sans"/>
                <w:sz w:val="22"/>
                <w:szCs w:val="22"/>
              </w:rPr>
            </w:pPr>
          </w:p>
          <w:p w14:paraId="413CF027" w14:textId="77777777" w:rsidR="00DE5E5D" w:rsidRPr="004868C9" w:rsidRDefault="00DE5E5D" w:rsidP="00DE5E5D">
            <w:pPr>
              <w:pStyle w:val="ListParagraph"/>
              <w:numPr>
                <w:ilvl w:val="0"/>
                <w:numId w:val="8"/>
              </w:numPr>
              <w:rPr>
                <w:rFonts w:ascii="Open Sans" w:hAnsi="Open Sans" w:cs="Open Sans"/>
                <w:sz w:val="22"/>
                <w:szCs w:val="22"/>
              </w:rPr>
            </w:pPr>
            <w:r w:rsidRPr="004868C9">
              <w:rPr>
                <w:rFonts w:ascii="Open Sans" w:hAnsi="Open Sans" w:cs="Open Sans"/>
                <w:sz w:val="22"/>
                <w:szCs w:val="22"/>
              </w:rPr>
              <w:t xml:space="preserve">Advance HE Accreditation Guidance Events </w:t>
            </w:r>
          </w:p>
          <w:p w14:paraId="59D5D006" w14:textId="77777777" w:rsidR="00DE5E5D" w:rsidRPr="004868C9" w:rsidRDefault="00DE5E5D" w:rsidP="00DE5E5D">
            <w:pPr>
              <w:rPr>
                <w:rFonts w:ascii="Open Sans" w:hAnsi="Open Sans" w:cs="Open Sans"/>
                <w:sz w:val="22"/>
                <w:szCs w:val="22"/>
              </w:rPr>
            </w:pPr>
          </w:p>
          <w:p w14:paraId="7A994BCC" w14:textId="6482F490" w:rsidR="007A32C8" w:rsidRPr="004868C9" w:rsidRDefault="00DE5E5D" w:rsidP="009F25EF">
            <w:pPr>
              <w:jc w:val="both"/>
            </w:pPr>
            <w:r w:rsidRPr="004868C9">
              <w:rPr>
                <w:rFonts w:ascii="Open Sans" w:hAnsi="Open Sans" w:cs="Open Sans"/>
                <w:sz w:val="22"/>
                <w:szCs w:val="22"/>
              </w:rPr>
              <w:t>These provided not only an opportunity to stand back and reflect on our internal provision, but an update on policy and an opportunity to discuss matters of accreditation with others similarly going for re-accreditation.  The events provided insights into different approaches to dialogic/presentation forms of assessment, something to be potentially introduced within our next accreditation round.</w:t>
            </w:r>
            <w:r w:rsidRPr="004868C9">
              <w:rPr>
                <w:rFonts w:ascii="Open Sans" w:hAnsi="Open Sans" w:cs="Open Sans"/>
              </w:rPr>
              <w:t xml:space="preserve">  </w:t>
            </w:r>
          </w:p>
          <w:p w14:paraId="65FDC8EB" w14:textId="77777777" w:rsidR="007A32C8" w:rsidRPr="004868C9" w:rsidRDefault="007A32C8" w:rsidP="00C74BA8"/>
        </w:tc>
      </w:tr>
    </w:tbl>
    <w:p w14:paraId="498A80CD" w14:textId="77777777" w:rsidR="007A32C8" w:rsidRPr="004868C9" w:rsidRDefault="007A32C8" w:rsidP="000B127C">
      <w:pPr>
        <w:keepNext/>
        <w:keepLines/>
        <w:spacing w:before="40" w:after="220"/>
        <w:outlineLvl w:val="1"/>
        <w:rPr>
          <w:rFonts w:eastAsiaTheme="majorEastAsia" w:cs="Arial"/>
          <w:b/>
          <w:sz w:val="26"/>
          <w:szCs w:val="26"/>
          <w:lang w:val="en-US"/>
        </w:rPr>
      </w:pPr>
    </w:p>
    <w:p w14:paraId="617C2557" w14:textId="77777777" w:rsidR="000B127C" w:rsidRPr="004868C9" w:rsidRDefault="000B127C" w:rsidP="000B127C">
      <w:pPr>
        <w:keepNext/>
        <w:keepLines/>
        <w:spacing w:before="40" w:after="220"/>
        <w:outlineLvl w:val="1"/>
        <w:rPr>
          <w:rFonts w:eastAsiaTheme="majorEastAsia" w:cs="Arial"/>
          <w:b/>
          <w:sz w:val="26"/>
          <w:szCs w:val="26"/>
          <w:lang w:val="en-US"/>
        </w:rPr>
      </w:pPr>
      <w:r w:rsidRPr="004868C9">
        <w:rPr>
          <w:rFonts w:eastAsiaTheme="majorEastAsia" w:cs="Arial"/>
          <w:b/>
          <w:sz w:val="26"/>
          <w:szCs w:val="26"/>
          <w:lang w:val="en-US"/>
        </w:rPr>
        <w:t xml:space="preserve">Review Sign </w:t>
      </w:r>
      <w:r w:rsidRPr="004868C9">
        <w:rPr>
          <w:rFonts w:eastAsiaTheme="majorEastAsia" w:cs="Arial"/>
          <w:b/>
          <w:spacing w:val="-2"/>
          <w:sz w:val="26"/>
          <w:szCs w:val="26"/>
          <w:lang w:val="en-US"/>
        </w:rPr>
        <w:t>Off</w:t>
      </w:r>
    </w:p>
    <w:p w14:paraId="72B177E2" w14:textId="77777777" w:rsidR="000B127C" w:rsidRPr="004868C9" w:rsidRDefault="000B127C" w:rsidP="000B127C">
      <w:pPr>
        <w:spacing w:before="8"/>
        <w:rPr>
          <w:rFonts w:eastAsia="Arial" w:cs="Arial"/>
          <w:sz w:val="21"/>
          <w:szCs w:val="21"/>
        </w:rPr>
      </w:pPr>
    </w:p>
    <w:tbl>
      <w:tblPr>
        <w:tblStyle w:val="TableGrid3"/>
        <w:tblW w:w="9782" w:type="dxa"/>
        <w:tblInd w:w="-431" w:type="dxa"/>
        <w:tblLook w:val="04A0" w:firstRow="1" w:lastRow="0" w:firstColumn="1" w:lastColumn="0" w:noHBand="0" w:noVBand="1"/>
      </w:tblPr>
      <w:tblGrid>
        <w:gridCol w:w="3196"/>
        <w:gridCol w:w="6586"/>
      </w:tblGrid>
      <w:tr w:rsidR="004868C9" w:rsidRPr="004868C9" w14:paraId="2796019C" w14:textId="77777777" w:rsidTr="00614503">
        <w:trPr>
          <w:trHeight w:val="680"/>
        </w:trPr>
        <w:tc>
          <w:tcPr>
            <w:tcW w:w="3196" w:type="dxa"/>
            <w:vAlign w:val="center"/>
          </w:tcPr>
          <w:p w14:paraId="1D510DEB" w14:textId="0FF9D0BF" w:rsidR="000B127C" w:rsidRPr="004868C9" w:rsidRDefault="000B127C" w:rsidP="00C74BA8">
            <w:pPr>
              <w:ind w:left="110"/>
              <w:jc w:val="center"/>
              <w:rPr>
                <w:b/>
                <w:spacing w:val="-14"/>
                <w:w w:val="105"/>
                <w:sz w:val="22"/>
              </w:rPr>
            </w:pPr>
            <w:r w:rsidRPr="004868C9">
              <w:rPr>
                <w:b/>
                <w:w w:val="105"/>
                <w:sz w:val="22"/>
              </w:rPr>
              <w:t>Scheme</w:t>
            </w:r>
            <w:r w:rsidRPr="004868C9">
              <w:rPr>
                <w:b/>
                <w:spacing w:val="-15"/>
                <w:w w:val="105"/>
                <w:sz w:val="22"/>
              </w:rPr>
              <w:t xml:space="preserve"> </w:t>
            </w:r>
            <w:r w:rsidRPr="004868C9">
              <w:rPr>
                <w:b/>
                <w:w w:val="105"/>
                <w:sz w:val="22"/>
              </w:rPr>
              <w:t>Leader</w:t>
            </w:r>
            <w:r w:rsidRPr="004868C9">
              <w:rPr>
                <w:b/>
                <w:spacing w:val="-14"/>
                <w:w w:val="105"/>
                <w:sz w:val="22"/>
              </w:rPr>
              <w:t xml:space="preserve"> </w:t>
            </w:r>
            <w:r w:rsidRPr="004868C9">
              <w:rPr>
                <w:b/>
                <w:w w:val="105"/>
                <w:sz w:val="22"/>
              </w:rPr>
              <w:t>Signature</w:t>
            </w:r>
            <w:r w:rsidR="00D21A2A" w:rsidRPr="004868C9">
              <w:rPr>
                <w:b/>
                <w:w w:val="105"/>
                <w:sz w:val="22"/>
              </w:rPr>
              <w:t xml:space="preserve"> (return written by Kate Coulson)</w:t>
            </w:r>
          </w:p>
        </w:tc>
        <w:tc>
          <w:tcPr>
            <w:tcW w:w="6586" w:type="dxa"/>
            <w:vAlign w:val="center"/>
          </w:tcPr>
          <w:p w14:paraId="498FAABD" w14:textId="51506495" w:rsidR="000B127C" w:rsidRPr="004868C9" w:rsidRDefault="008C40DA" w:rsidP="00C74BA8">
            <w:pPr>
              <w:rPr>
                <w:w w:val="105"/>
              </w:rPr>
            </w:pPr>
            <w:r w:rsidRPr="004868C9">
              <w:rPr>
                <w:noProof/>
              </w:rPr>
              <w:drawing>
                <wp:inline distT="0" distB="0" distL="0" distR="0" wp14:anchorId="19BE542D" wp14:editId="151CB2CC">
                  <wp:extent cx="1543050" cy="571184"/>
                  <wp:effectExtent l="0" t="0" r="0" b="63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7486" cy="572826"/>
                          </a:xfrm>
                          <a:prstGeom prst="rect">
                            <a:avLst/>
                          </a:prstGeom>
                          <a:noFill/>
                          <a:ln>
                            <a:noFill/>
                          </a:ln>
                        </pic:spPr>
                      </pic:pic>
                    </a:graphicData>
                  </a:graphic>
                </wp:inline>
              </w:drawing>
            </w:r>
          </w:p>
        </w:tc>
      </w:tr>
      <w:tr w:rsidR="004868C9" w:rsidRPr="004868C9" w14:paraId="1AF2C7CF" w14:textId="77777777" w:rsidTr="00614503">
        <w:trPr>
          <w:trHeight w:val="680"/>
        </w:trPr>
        <w:tc>
          <w:tcPr>
            <w:tcW w:w="3196" w:type="dxa"/>
            <w:vAlign w:val="center"/>
          </w:tcPr>
          <w:p w14:paraId="40C87532" w14:textId="77777777" w:rsidR="000B127C" w:rsidRPr="004868C9" w:rsidRDefault="000B127C" w:rsidP="00C74BA8">
            <w:pPr>
              <w:ind w:left="110"/>
              <w:jc w:val="center"/>
              <w:rPr>
                <w:rFonts w:eastAsia="Arial" w:cs="Arial"/>
                <w:b/>
                <w:sz w:val="22"/>
              </w:rPr>
            </w:pPr>
            <w:r w:rsidRPr="004868C9">
              <w:rPr>
                <w:b/>
                <w:w w:val="105"/>
                <w:sz w:val="22"/>
              </w:rPr>
              <w:t>Date</w:t>
            </w:r>
          </w:p>
        </w:tc>
        <w:tc>
          <w:tcPr>
            <w:tcW w:w="6586" w:type="dxa"/>
            <w:vAlign w:val="center"/>
          </w:tcPr>
          <w:p w14:paraId="6544C97E" w14:textId="795B8310" w:rsidR="000B127C" w:rsidRPr="004868C9" w:rsidRDefault="00556FB4" w:rsidP="00C74BA8">
            <w:pPr>
              <w:rPr>
                <w:rFonts w:ascii="Open Sans" w:hAnsi="Open Sans" w:cs="Open Sans"/>
                <w:w w:val="105"/>
                <w:sz w:val="22"/>
                <w:szCs w:val="22"/>
              </w:rPr>
            </w:pPr>
            <w:r w:rsidRPr="004868C9">
              <w:rPr>
                <w:rFonts w:ascii="Open Sans" w:hAnsi="Open Sans" w:cs="Open Sans"/>
                <w:w w:val="105"/>
                <w:sz w:val="22"/>
                <w:szCs w:val="22"/>
              </w:rPr>
              <w:t>5 January 2023</w:t>
            </w:r>
          </w:p>
        </w:tc>
      </w:tr>
    </w:tbl>
    <w:p w14:paraId="6EE80C4A" w14:textId="77777777" w:rsidR="000B127C" w:rsidRPr="004868C9" w:rsidRDefault="000B127C" w:rsidP="000B127C">
      <w:pPr>
        <w:rPr>
          <w:rFonts w:cs="Arial"/>
          <w:sz w:val="22"/>
          <w:szCs w:val="22"/>
        </w:rPr>
      </w:pPr>
    </w:p>
    <w:p w14:paraId="572C66A5" w14:textId="77777777" w:rsidR="000B127C" w:rsidRPr="004868C9" w:rsidRDefault="000B127C" w:rsidP="000B127C">
      <w:r w:rsidRPr="004868C9">
        <w:t xml:space="preserve">The completed review should be returned as a Microsoft Word document to provide ease of access for the information to enable analysis – please do not send as a pdf file. </w:t>
      </w:r>
    </w:p>
    <w:p w14:paraId="5D6ABA35" w14:textId="77777777" w:rsidR="000B127C" w:rsidRPr="004868C9" w:rsidRDefault="000B127C" w:rsidP="000B127C"/>
    <w:p w14:paraId="62765D2B" w14:textId="77777777" w:rsidR="000B127C" w:rsidRPr="004868C9" w:rsidRDefault="000B127C" w:rsidP="000B127C">
      <w:pPr>
        <w:rPr>
          <w:b/>
        </w:rPr>
      </w:pPr>
      <w:r w:rsidRPr="004868C9">
        <w:t>Please email the completed review template to</w:t>
      </w:r>
      <w:r w:rsidRPr="004868C9">
        <w:rPr>
          <w:b/>
        </w:rPr>
        <w:t xml:space="preserve"> cpdreview@advance-he.ac.uk </w:t>
      </w:r>
      <w:r w:rsidRPr="004868C9">
        <w:t>by</w:t>
      </w:r>
      <w:r w:rsidRPr="004868C9">
        <w:rPr>
          <w:b/>
        </w:rPr>
        <w:t xml:space="preserve"> </w:t>
      </w:r>
      <w:r w:rsidRPr="004868C9">
        <w:t>the deadline of</w:t>
      </w:r>
      <w:r w:rsidRPr="004868C9">
        <w:rPr>
          <w:b/>
        </w:rPr>
        <w:t xml:space="preserve"> Monday </w:t>
      </w:r>
      <w:r w:rsidR="008F0689" w:rsidRPr="004868C9">
        <w:rPr>
          <w:b/>
        </w:rPr>
        <w:t>9 January 2023</w:t>
      </w:r>
      <w:r w:rsidRPr="004868C9">
        <w:rPr>
          <w:b/>
        </w:rPr>
        <w:t>.</w:t>
      </w:r>
    </w:p>
    <w:p w14:paraId="71E11342" w14:textId="77777777" w:rsidR="00F13938" w:rsidRPr="004868C9" w:rsidRDefault="00F13938" w:rsidP="000B127C">
      <w:pPr>
        <w:rPr>
          <w:lang w:val="en-US"/>
        </w:rPr>
        <w:sectPr w:rsidR="00F13938" w:rsidRPr="004868C9">
          <w:pgSz w:w="11906" w:h="16838"/>
          <w:pgMar w:top="1440" w:right="1440" w:bottom="1440" w:left="1440" w:header="708" w:footer="708" w:gutter="0"/>
          <w:cols w:space="708"/>
          <w:docGrid w:linePitch="360"/>
        </w:sectPr>
      </w:pPr>
    </w:p>
    <w:p w14:paraId="62ACC69B" w14:textId="77777777" w:rsidR="000B127C" w:rsidRPr="004868C9" w:rsidRDefault="009369CA" w:rsidP="000B127C">
      <w:pPr>
        <w:keepNext/>
        <w:keepLines/>
        <w:spacing w:before="40" w:after="220"/>
        <w:outlineLvl w:val="1"/>
        <w:rPr>
          <w:rFonts w:eastAsiaTheme="majorEastAsia" w:cs="Arial"/>
          <w:b/>
          <w:sz w:val="26"/>
          <w:szCs w:val="26"/>
          <w:lang w:val="en-US"/>
        </w:rPr>
      </w:pPr>
      <w:r w:rsidRPr="004868C9">
        <w:rPr>
          <w:rFonts w:eastAsiaTheme="majorEastAsia" w:cs="Arial"/>
          <w:b/>
          <w:sz w:val="26"/>
          <w:szCs w:val="26"/>
          <w:lang w:val="en-US"/>
        </w:rPr>
        <w:lastRenderedPageBreak/>
        <w:t xml:space="preserve">Appendix 1 </w:t>
      </w:r>
      <w:r w:rsidR="000B127C" w:rsidRPr="004868C9">
        <w:rPr>
          <w:rFonts w:eastAsiaTheme="majorEastAsia" w:cs="Arial"/>
          <w:b/>
          <w:sz w:val="26"/>
          <w:szCs w:val="26"/>
          <w:lang w:val="en-US"/>
        </w:rPr>
        <w:t>Data Tables</w:t>
      </w:r>
    </w:p>
    <w:tbl>
      <w:tblPr>
        <w:tblStyle w:val="LightList-Accent11"/>
        <w:tblW w:w="14460" w:type="dxa"/>
        <w:tblInd w:w="-431" w:type="dxa"/>
        <w:tblLayout w:type="fixed"/>
        <w:tblLook w:val="04A0" w:firstRow="1" w:lastRow="0" w:firstColumn="1" w:lastColumn="0" w:noHBand="0" w:noVBand="1"/>
      </w:tblPr>
      <w:tblGrid>
        <w:gridCol w:w="14460"/>
      </w:tblGrid>
      <w:tr w:rsidR="004868C9" w:rsidRPr="004868C9" w14:paraId="18118E68" w14:textId="77777777" w:rsidTr="004868C9">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460" w:type="dxa"/>
            <w:shd w:val="clear" w:color="auto" w:fill="FFFFFF" w:themeFill="background1"/>
            <w:vAlign w:val="center"/>
            <w:hideMark/>
          </w:tcPr>
          <w:p w14:paraId="194C1D6D" w14:textId="77777777" w:rsidR="000B127C" w:rsidRPr="004868C9" w:rsidRDefault="000B127C" w:rsidP="00C74BA8">
            <w:pPr>
              <w:spacing w:before="240" w:after="240"/>
              <w:rPr>
                <w:rFonts w:eastAsia="Times New Roman" w:cs="Arial"/>
                <w:b/>
              </w:rPr>
            </w:pPr>
            <w:r w:rsidRPr="004868C9">
              <w:rPr>
                <w:rFonts w:eastAsia="Times New Roman" w:cs="Arial"/>
              </w:rPr>
              <w:t>Figure</w:t>
            </w:r>
            <w:r w:rsidR="00236D0D" w:rsidRPr="004868C9">
              <w:rPr>
                <w:rFonts w:eastAsia="Cambria" w:cs="Arial"/>
              </w:rPr>
              <w:t xml:space="preserve"> 4</w:t>
            </w:r>
            <w:r w:rsidRPr="004868C9">
              <w:rPr>
                <w:rFonts w:eastAsia="Cambria" w:cs="Arial"/>
              </w:rPr>
              <w:t>: Total fellows employed at some point during the academic year awarded through all routes</w:t>
            </w:r>
          </w:p>
        </w:tc>
      </w:tr>
    </w:tbl>
    <w:p w14:paraId="7490DAE9" w14:textId="77777777" w:rsidR="00283E00" w:rsidRPr="004868C9" w:rsidRDefault="00DC4656" w:rsidP="001F39CE">
      <w:pPr>
        <w:ind w:left="-426"/>
        <w:rPr>
          <w:sz w:val="22"/>
          <w:lang w:val="en-US"/>
        </w:rPr>
        <w:sectPr w:rsidR="00283E00" w:rsidRPr="004868C9" w:rsidSect="00F13938">
          <w:pgSz w:w="16838" w:h="11906" w:orient="landscape"/>
          <w:pgMar w:top="851" w:right="1440" w:bottom="1440" w:left="1440" w:header="708" w:footer="708" w:gutter="0"/>
          <w:cols w:space="708"/>
          <w:docGrid w:linePitch="360"/>
        </w:sectPr>
      </w:pPr>
      <w:r w:rsidRPr="004868C9">
        <w:rPr>
          <w:noProof/>
          <w:lang w:eastAsia="en-GB"/>
        </w:rPr>
        <w:drawing>
          <wp:inline distT="0" distB="0" distL="0" distR="0" wp14:anchorId="7723F2C1" wp14:editId="3924D438">
            <wp:extent cx="9153525" cy="4950460"/>
            <wp:effectExtent l="19050" t="19050" r="28575" b="21590"/>
            <wp:docPr id="4" name="slide4" descr="Total Fellows">
              <a:extLst xmlns:a="http://schemas.openxmlformats.org/drawingml/2006/main">
                <a:ext uri="{FF2B5EF4-FFF2-40B4-BE49-F238E27FC236}">
                  <a16:creationId xmlns:a16="http://schemas.microsoft.com/office/drawing/2014/main" id="{9DC69B0E-6AD2-49D9-A386-64380F75B3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4" descr="Total Fellows">
                      <a:extLst>
                        <a:ext uri="{FF2B5EF4-FFF2-40B4-BE49-F238E27FC236}">
                          <a16:creationId xmlns:a16="http://schemas.microsoft.com/office/drawing/2014/main" id="{9DC69B0E-6AD2-49D9-A386-64380F75B3A6}"/>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9159254" cy="4953558"/>
                    </a:xfrm>
                    <a:prstGeom prst="rect">
                      <a:avLst/>
                    </a:prstGeom>
                    <a:ln>
                      <a:solidFill>
                        <a:srgbClr val="02A4A6"/>
                      </a:solidFill>
                    </a:ln>
                  </pic:spPr>
                </pic:pic>
              </a:graphicData>
            </a:graphic>
          </wp:inline>
        </w:drawing>
      </w:r>
    </w:p>
    <w:tbl>
      <w:tblPr>
        <w:tblStyle w:val="LightList-Accent11"/>
        <w:tblW w:w="9923" w:type="dxa"/>
        <w:tblInd w:w="-289" w:type="dxa"/>
        <w:tblLayout w:type="fixed"/>
        <w:tblLook w:val="04A0" w:firstRow="1" w:lastRow="0" w:firstColumn="1" w:lastColumn="0" w:noHBand="0" w:noVBand="1"/>
      </w:tblPr>
      <w:tblGrid>
        <w:gridCol w:w="9923"/>
      </w:tblGrid>
      <w:tr w:rsidR="004868C9" w:rsidRPr="004868C9" w14:paraId="30B19409" w14:textId="77777777" w:rsidTr="004868C9">
        <w:trPr>
          <w:cnfStyle w:val="100000000000" w:firstRow="1" w:lastRow="0" w:firstColumn="0" w:lastColumn="0" w:oddVBand="0" w:evenVBand="0" w:oddHBand="0"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923" w:type="dxa"/>
            <w:shd w:val="clear" w:color="auto" w:fill="FFFFFF" w:themeFill="background1"/>
            <w:vAlign w:val="center"/>
            <w:hideMark/>
          </w:tcPr>
          <w:p w14:paraId="742B0025" w14:textId="77777777" w:rsidR="000B127C" w:rsidRPr="004868C9" w:rsidRDefault="000B127C" w:rsidP="00A1636B">
            <w:pPr>
              <w:spacing w:before="240" w:after="240"/>
              <w:ind w:firstLine="39"/>
              <w:rPr>
                <w:rFonts w:eastAsia="Times New Roman" w:cs="Arial"/>
                <w:b/>
              </w:rPr>
            </w:pPr>
            <w:r w:rsidRPr="004868C9">
              <w:rPr>
                <w:rFonts w:eastAsia="Times New Roman" w:cs="Arial"/>
              </w:rPr>
              <w:lastRenderedPageBreak/>
              <w:t>Figure</w:t>
            </w:r>
            <w:r w:rsidR="00236D0D" w:rsidRPr="004868C9">
              <w:rPr>
                <w:rFonts w:eastAsia="Cambria" w:cs="Arial"/>
              </w:rPr>
              <w:t xml:space="preserve"> 5</w:t>
            </w:r>
            <w:r w:rsidRPr="004868C9">
              <w:rPr>
                <w:rFonts w:eastAsia="Cambria" w:cs="Arial"/>
              </w:rPr>
              <w:t>: Total fellows employed at benchmark group some point during the academic year awarded through all routes</w:t>
            </w:r>
          </w:p>
        </w:tc>
      </w:tr>
    </w:tbl>
    <w:p w14:paraId="2788FC35" w14:textId="77777777" w:rsidR="000B127C" w:rsidRPr="004868C9" w:rsidRDefault="00DC4656" w:rsidP="005C6E6E">
      <w:pPr>
        <w:ind w:left="-284"/>
        <w:rPr>
          <w:sz w:val="22"/>
          <w:lang w:val="en-US"/>
        </w:rPr>
      </w:pPr>
      <w:r w:rsidRPr="004868C9">
        <w:rPr>
          <w:noProof/>
          <w:lang w:eastAsia="en-GB"/>
        </w:rPr>
        <w:drawing>
          <wp:inline distT="0" distB="0" distL="0" distR="0" wp14:anchorId="54EE36CB" wp14:editId="51B8EA67">
            <wp:extent cx="6267450" cy="4702380"/>
            <wp:effectExtent l="19050" t="19050" r="19050" b="22225"/>
            <wp:docPr id="5" name="slide5" descr="Benchmark group">
              <a:extLst xmlns:a="http://schemas.openxmlformats.org/drawingml/2006/main">
                <a:ext uri="{FF2B5EF4-FFF2-40B4-BE49-F238E27FC236}">
                  <a16:creationId xmlns:a16="http://schemas.microsoft.com/office/drawing/2014/main" id="{B2A7E6F3-3DFB-4732-9E0E-36A0EC0FC9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de5" descr="Benchmark group">
                      <a:extLst>
                        <a:ext uri="{FF2B5EF4-FFF2-40B4-BE49-F238E27FC236}">
                          <a16:creationId xmlns:a16="http://schemas.microsoft.com/office/drawing/2014/main" id="{B2A7E6F3-3DFB-4732-9E0E-36A0EC0FC9F5}"/>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6271577" cy="4705476"/>
                    </a:xfrm>
                    <a:prstGeom prst="rect">
                      <a:avLst/>
                    </a:prstGeom>
                    <a:ln>
                      <a:solidFill>
                        <a:srgbClr val="02A4A6"/>
                      </a:solidFill>
                    </a:ln>
                  </pic:spPr>
                </pic:pic>
              </a:graphicData>
            </a:graphic>
          </wp:inline>
        </w:drawing>
      </w:r>
    </w:p>
    <w:p w14:paraId="4D40360D" w14:textId="77777777" w:rsidR="006462B8" w:rsidRPr="004868C9" w:rsidRDefault="006462B8" w:rsidP="006462B8">
      <w:pPr>
        <w:ind w:left="-567"/>
        <w:rPr>
          <w:sz w:val="22"/>
          <w:lang w:val="en-US"/>
        </w:rPr>
      </w:pPr>
    </w:p>
    <w:p w14:paraId="33665E6D" w14:textId="77777777" w:rsidR="00DC4656" w:rsidRPr="004868C9" w:rsidRDefault="00DC4656">
      <w:pPr>
        <w:spacing w:after="160" w:line="259" w:lineRule="auto"/>
        <w:rPr>
          <w:sz w:val="22"/>
          <w:lang w:val="en-US"/>
        </w:rPr>
      </w:pPr>
      <w:r w:rsidRPr="004868C9">
        <w:rPr>
          <w:sz w:val="22"/>
          <w:lang w:val="en-US"/>
        </w:rPr>
        <w:br w:type="page"/>
      </w:r>
    </w:p>
    <w:p w14:paraId="79413CEF" w14:textId="77777777" w:rsidR="005C6E6E" w:rsidRPr="004868C9" w:rsidRDefault="005C6E6E" w:rsidP="006462B8">
      <w:pPr>
        <w:ind w:left="-567"/>
        <w:rPr>
          <w:sz w:val="22"/>
          <w:lang w:val="en-US"/>
        </w:rPr>
      </w:pPr>
    </w:p>
    <w:tbl>
      <w:tblPr>
        <w:tblStyle w:val="LightList-Accent11"/>
        <w:tblW w:w="9923" w:type="dxa"/>
        <w:tblInd w:w="-289" w:type="dxa"/>
        <w:tblLayout w:type="fixed"/>
        <w:tblLook w:val="04A0" w:firstRow="1" w:lastRow="0" w:firstColumn="1" w:lastColumn="0" w:noHBand="0" w:noVBand="1"/>
      </w:tblPr>
      <w:tblGrid>
        <w:gridCol w:w="9923"/>
      </w:tblGrid>
      <w:tr w:rsidR="004868C9" w:rsidRPr="004868C9" w14:paraId="58D30FA3" w14:textId="77777777" w:rsidTr="004868C9">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923" w:type="dxa"/>
            <w:shd w:val="clear" w:color="auto" w:fill="FFFFFF" w:themeFill="background1"/>
            <w:vAlign w:val="center"/>
            <w:hideMark/>
          </w:tcPr>
          <w:p w14:paraId="56CB85A6" w14:textId="77777777" w:rsidR="000B127C" w:rsidRPr="004868C9" w:rsidRDefault="000B127C" w:rsidP="00C74BA8">
            <w:pPr>
              <w:spacing w:before="240" w:after="240"/>
              <w:rPr>
                <w:rFonts w:eastAsia="Times New Roman" w:cs="Arial"/>
                <w:b/>
              </w:rPr>
            </w:pPr>
            <w:r w:rsidRPr="004868C9">
              <w:rPr>
                <w:rFonts w:eastAsia="Times New Roman" w:cs="Arial"/>
              </w:rPr>
              <w:t>Figure</w:t>
            </w:r>
            <w:r w:rsidR="00236D0D" w:rsidRPr="004868C9">
              <w:rPr>
                <w:rFonts w:eastAsia="Cambria" w:cs="Arial"/>
              </w:rPr>
              <w:t xml:space="preserve"> 6</w:t>
            </w:r>
            <w:r w:rsidRPr="004868C9">
              <w:rPr>
                <w:rFonts w:eastAsia="Cambria" w:cs="Arial"/>
              </w:rPr>
              <w:t xml:space="preserve">: Total fellows employed in UK sector (HESA </w:t>
            </w:r>
            <w:proofErr w:type="spellStart"/>
            <w:r w:rsidRPr="004868C9">
              <w:rPr>
                <w:rFonts w:eastAsia="Cambria" w:cs="Arial"/>
              </w:rPr>
              <w:t>organisations</w:t>
            </w:r>
            <w:proofErr w:type="spellEnd"/>
            <w:r w:rsidRPr="004868C9">
              <w:rPr>
                <w:rFonts w:eastAsia="Cambria" w:cs="Arial"/>
              </w:rPr>
              <w:t>) at some point during the academic year awarded through all routes</w:t>
            </w:r>
          </w:p>
        </w:tc>
      </w:tr>
    </w:tbl>
    <w:p w14:paraId="340BD45B" w14:textId="77777777" w:rsidR="00283E00" w:rsidRPr="004868C9" w:rsidRDefault="00DC4656" w:rsidP="00A1636B">
      <w:pPr>
        <w:ind w:left="-284"/>
        <w:rPr>
          <w:rFonts w:eastAsia="Arial" w:cs="Arial"/>
          <w:b/>
          <w:spacing w:val="-2"/>
          <w:szCs w:val="22"/>
        </w:rPr>
      </w:pPr>
      <w:r w:rsidRPr="004868C9">
        <w:rPr>
          <w:noProof/>
          <w:lang w:eastAsia="en-GB"/>
        </w:rPr>
        <w:drawing>
          <wp:inline distT="0" distB="0" distL="0" distR="0" wp14:anchorId="3E055765" wp14:editId="6DF69FB2">
            <wp:extent cx="6284059" cy="2257425"/>
            <wp:effectExtent l="19050" t="19050" r="21590" b="9525"/>
            <wp:docPr id="6" name="slide6" descr="Sector benchmark">
              <a:extLst xmlns:a="http://schemas.openxmlformats.org/drawingml/2006/main">
                <a:ext uri="{FF2B5EF4-FFF2-40B4-BE49-F238E27FC236}">
                  <a16:creationId xmlns:a16="http://schemas.microsoft.com/office/drawing/2014/main" id="{8D8B2C82-C327-41C2-8B9A-89D3C3EF1C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6" descr="Sector benchmark">
                      <a:extLst>
                        <a:ext uri="{FF2B5EF4-FFF2-40B4-BE49-F238E27FC236}">
                          <a16:creationId xmlns:a16="http://schemas.microsoft.com/office/drawing/2014/main" id="{8D8B2C82-C327-41C2-8B9A-89D3C3EF1C74}"/>
                        </a:ext>
                      </a:extLst>
                    </pic:cNvPr>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294845" cy="2261300"/>
                    </a:xfrm>
                    <a:prstGeom prst="rect">
                      <a:avLst/>
                    </a:prstGeom>
                    <a:ln>
                      <a:solidFill>
                        <a:srgbClr val="02A4A6"/>
                      </a:solidFill>
                    </a:ln>
                  </pic:spPr>
                </pic:pic>
              </a:graphicData>
            </a:graphic>
          </wp:inline>
        </w:drawing>
      </w:r>
    </w:p>
    <w:p w14:paraId="44DE6F5D" w14:textId="77777777" w:rsidR="007B4FC0" w:rsidRPr="004868C9" w:rsidRDefault="007B4FC0" w:rsidP="007B4FC0">
      <w:pPr>
        <w:autoSpaceDE w:val="0"/>
        <w:autoSpaceDN w:val="0"/>
        <w:adjustRightInd w:val="0"/>
        <w:spacing w:before="120"/>
        <w:ind w:left="-284"/>
        <w:rPr>
          <w:rFonts w:cs="Calibri"/>
          <w:i/>
          <w:sz w:val="20"/>
        </w:rPr>
      </w:pPr>
    </w:p>
    <w:p w14:paraId="2463277E" w14:textId="77777777" w:rsidR="005C6E6E" w:rsidRPr="004868C9" w:rsidRDefault="005C6E6E" w:rsidP="007B4FC0">
      <w:pPr>
        <w:autoSpaceDE w:val="0"/>
        <w:autoSpaceDN w:val="0"/>
        <w:adjustRightInd w:val="0"/>
        <w:spacing w:before="120"/>
        <w:ind w:left="-284"/>
        <w:rPr>
          <w:rFonts w:ascii="Times New Roman" w:hAnsi="Times New Roman"/>
          <w:i/>
          <w:sz w:val="20"/>
        </w:rPr>
      </w:pPr>
      <w:r w:rsidRPr="004868C9">
        <w:rPr>
          <w:rFonts w:cs="Calibri"/>
          <w:i/>
          <w:sz w:val="20"/>
        </w:rPr>
        <w:t>“Academic Staff” data is provided from the HESA Staff Record 2020/21, Higher Education Statistics Agency Limited 7/06/2022.</w:t>
      </w:r>
    </w:p>
    <w:p w14:paraId="0AEEC50C" w14:textId="77777777" w:rsidR="006E6BA5" w:rsidRPr="004868C9" w:rsidRDefault="005C6E6E" w:rsidP="007B4FC0">
      <w:pPr>
        <w:autoSpaceDE w:val="0"/>
        <w:autoSpaceDN w:val="0"/>
        <w:adjustRightInd w:val="0"/>
        <w:spacing w:before="120"/>
        <w:ind w:left="-284"/>
        <w:rPr>
          <w:rFonts w:ascii="Times New Roman" w:hAnsi="Times New Roman"/>
          <w:i/>
          <w:sz w:val="20"/>
        </w:rPr>
      </w:pPr>
      <w:r w:rsidRPr="004868C9">
        <w:rPr>
          <w:rFonts w:cs="Calibri"/>
          <w:i/>
          <w:sz w:val="20"/>
        </w:rPr>
        <w:t>Neither the Higher Education Statistics Agency Limited nor HESA Services Limited can accept responsibility for any inferences or conclusions derived by third parties from HESA data or other information supplied by the Higher Education Statistics Agency Limited or HESA Services Limited through Heidi Plus.</w:t>
      </w:r>
    </w:p>
    <w:sectPr w:rsidR="006E6BA5" w:rsidRPr="004868C9" w:rsidSect="005C6E6E">
      <w:pgSz w:w="11906" w:h="16838"/>
      <w:pgMar w:top="1440" w:right="851"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A29F2" w14:textId="77777777" w:rsidR="00B6499B" w:rsidRDefault="00B6499B" w:rsidP="006E6BA5">
      <w:r>
        <w:separator/>
      </w:r>
    </w:p>
  </w:endnote>
  <w:endnote w:type="continuationSeparator" w:id="0">
    <w:p w14:paraId="3D70CCA0" w14:textId="77777777" w:rsidR="00B6499B" w:rsidRDefault="00B6499B" w:rsidP="006E6BA5">
      <w:r>
        <w:continuationSeparator/>
      </w:r>
    </w:p>
  </w:endnote>
  <w:endnote w:type="continuationNotice" w:id="1">
    <w:p w14:paraId="23F18C5B" w14:textId="77777777" w:rsidR="00B6499B" w:rsidRDefault="00B64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let-NewYorkNineteenSixty">
    <w:altName w:val="Arial"/>
    <w:panose1 w:val="00000000000000000000"/>
    <w:charset w:val="00"/>
    <w:family w:val="modern"/>
    <w:notTrueType/>
    <w:pitch w:val="variable"/>
    <w:sig w:usb0="800002AF" w:usb1="5000004A"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halet-LondonNineteenSixty">
    <w:altName w:val="Arial"/>
    <w:panose1 w:val="00000000000000000000"/>
    <w:charset w:val="00"/>
    <w:family w:val="modern"/>
    <w:notTrueType/>
    <w:pitch w:val="variable"/>
    <w:sig w:usb0="800002AF" w:usb1="5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DCE7" w14:textId="77777777" w:rsidR="008977CB" w:rsidRDefault="00897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D434" w14:textId="77777777" w:rsidR="008977CB" w:rsidRDefault="00897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CD80" w14:textId="77777777" w:rsidR="008977CB" w:rsidRDefault="00897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E787" w14:textId="77777777" w:rsidR="00B6499B" w:rsidRDefault="00B6499B" w:rsidP="006E6BA5">
      <w:r>
        <w:separator/>
      </w:r>
    </w:p>
  </w:footnote>
  <w:footnote w:type="continuationSeparator" w:id="0">
    <w:p w14:paraId="4DBC58DE" w14:textId="77777777" w:rsidR="00B6499B" w:rsidRDefault="00B6499B" w:rsidP="006E6BA5">
      <w:r>
        <w:continuationSeparator/>
      </w:r>
    </w:p>
  </w:footnote>
  <w:footnote w:type="continuationNotice" w:id="1">
    <w:p w14:paraId="1263FD1E" w14:textId="77777777" w:rsidR="00B6499B" w:rsidRDefault="00B64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CED3" w14:textId="77777777" w:rsidR="008977CB" w:rsidRDefault="00897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FE12" w14:textId="77777777" w:rsidR="008977CB" w:rsidRDefault="00897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57E7" w14:textId="77777777" w:rsidR="008977CB" w:rsidRDefault="00897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3B7"/>
    <w:multiLevelType w:val="hybridMultilevel"/>
    <w:tmpl w:val="CA0C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B1D33"/>
    <w:multiLevelType w:val="hybridMultilevel"/>
    <w:tmpl w:val="D3643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E6B01"/>
    <w:multiLevelType w:val="hybridMultilevel"/>
    <w:tmpl w:val="8184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C7E09"/>
    <w:multiLevelType w:val="hybridMultilevel"/>
    <w:tmpl w:val="90186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60056"/>
    <w:multiLevelType w:val="hybridMultilevel"/>
    <w:tmpl w:val="3B6E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06CE0"/>
    <w:multiLevelType w:val="multilevel"/>
    <w:tmpl w:val="CC2C3BD2"/>
    <w:lvl w:ilvl="0">
      <w:start w:val="1"/>
      <w:numFmt w:val="decimal"/>
      <w:pStyle w:val="multilistnumbermain"/>
      <w:lvlText w:val="%1."/>
      <w:lvlJc w:val="left"/>
      <w:pPr>
        <w:ind w:left="360" w:hanging="360"/>
      </w:pPr>
      <w:rPr>
        <w:rFonts w:hint="default"/>
      </w:rPr>
    </w:lvl>
    <w:lvl w:ilvl="1">
      <w:start w:val="1"/>
      <w:numFmt w:val="decimal"/>
      <w:pStyle w:val="multilistlevelsub"/>
      <w:isLgl/>
      <w:lvlText w:val="%1.%2"/>
      <w:lvlJc w:val="left"/>
      <w:pPr>
        <w:ind w:left="996" w:hanging="57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B5732CD"/>
    <w:multiLevelType w:val="hybridMultilevel"/>
    <w:tmpl w:val="3AE49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C5856"/>
    <w:multiLevelType w:val="hybridMultilevel"/>
    <w:tmpl w:val="6F44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7C"/>
    <w:rsid w:val="00014885"/>
    <w:rsid w:val="000248EF"/>
    <w:rsid w:val="00033605"/>
    <w:rsid w:val="00043AC4"/>
    <w:rsid w:val="00051E54"/>
    <w:rsid w:val="00093398"/>
    <w:rsid w:val="000A54CB"/>
    <w:rsid w:val="000B127C"/>
    <w:rsid w:val="000B4AB7"/>
    <w:rsid w:val="000B77E8"/>
    <w:rsid w:val="000B7C1C"/>
    <w:rsid w:val="000C365B"/>
    <w:rsid w:val="000C5FAE"/>
    <w:rsid w:val="000D0EE2"/>
    <w:rsid w:val="000D6513"/>
    <w:rsid w:val="00102F3C"/>
    <w:rsid w:val="001113BE"/>
    <w:rsid w:val="001148A6"/>
    <w:rsid w:val="00127533"/>
    <w:rsid w:val="00141E0A"/>
    <w:rsid w:val="001510DA"/>
    <w:rsid w:val="00155A24"/>
    <w:rsid w:val="001561FE"/>
    <w:rsid w:val="00161F6E"/>
    <w:rsid w:val="0018034A"/>
    <w:rsid w:val="001874C6"/>
    <w:rsid w:val="00195EAD"/>
    <w:rsid w:val="001A24B6"/>
    <w:rsid w:val="001A478F"/>
    <w:rsid w:val="001B49FD"/>
    <w:rsid w:val="001C06C3"/>
    <w:rsid w:val="001C08B8"/>
    <w:rsid w:val="001D2EB9"/>
    <w:rsid w:val="001E3668"/>
    <w:rsid w:val="001F39CE"/>
    <w:rsid w:val="00211C05"/>
    <w:rsid w:val="00213094"/>
    <w:rsid w:val="00213FB2"/>
    <w:rsid w:val="0022372F"/>
    <w:rsid w:val="00236D0D"/>
    <w:rsid w:val="0023706E"/>
    <w:rsid w:val="00242975"/>
    <w:rsid w:val="00265CFB"/>
    <w:rsid w:val="00283E00"/>
    <w:rsid w:val="002960EB"/>
    <w:rsid w:val="002A0654"/>
    <w:rsid w:val="002A1EF9"/>
    <w:rsid w:val="002A68F7"/>
    <w:rsid w:val="002B2345"/>
    <w:rsid w:val="002C544E"/>
    <w:rsid w:val="002D058B"/>
    <w:rsid w:val="002D11F5"/>
    <w:rsid w:val="002D5013"/>
    <w:rsid w:val="002D77FC"/>
    <w:rsid w:val="002E1997"/>
    <w:rsid w:val="002F0657"/>
    <w:rsid w:val="0030711E"/>
    <w:rsid w:val="00311490"/>
    <w:rsid w:val="00351A17"/>
    <w:rsid w:val="00356C45"/>
    <w:rsid w:val="003578F7"/>
    <w:rsid w:val="00381B00"/>
    <w:rsid w:val="003E3744"/>
    <w:rsid w:val="003E6945"/>
    <w:rsid w:val="004145B0"/>
    <w:rsid w:val="00415F73"/>
    <w:rsid w:val="0042025E"/>
    <w:rsid w:val="0042705A"/>
    <w:rsid w:val="0044390E"/>
    <w:rsid w:val="004475FE"/>
    <w:rsid w:val="00461E7E"/>
    <w:rsid w:val="004729FE"/>
    <w:rsid w:val="004814DD"/>
    <w:rsid w:val="00483824"/>
    <w:rsid w:val="004868C9"/>
    <w:rsid w:val="00491E51"/>
    <w:rsid w:val="004962DD"/>
    <w:rsid w:val="004A5A61"/>
    <w:rsid w:val="004A5FBF"/>
    <w:rsid w:val="004A7C12"/>
    <w:rsid w:val="004B38CD"/>
    <w:rsid w:val="004D5BAE"/>
    <w:rsid w:val="004D6FA2"/>
    <w:rsid w:val="004E32B7"/>
    <w:rsid w:val="004F682D"/>
    <w:rsid w:val="004F7643"/>
    <w:rsid w:val="0050409B"/>
    <w:rsid w:val="00513387"/>
    <w:rsid w:val="00513E4A"/>
    <w:rsid w:val="00522451"/>
    <w:rsid w:val="00522914"/>
    <w:rsid w:val="00527609"/>
    <w:rsid w:val="00527EAF"/>
    <w:rsid w:val="005335CE"/>
    <w:rsid w:val="005356DD"/>
    <w:rsid w:val="00543E58"/>
    <w:rsid w:val="00544C0C"/>
    <w:rsid w:val="00547D97"/>
    <w:rsid w:val="00551F3B"/>
    <w:rsid w:val="00556AE2"/>
    <w:rsid w:val="00556D7E"/>
    <w:rsid w:val="00556FB4"/>
    <w:rsid w:val="00562C5A"/>
    <w:rsid w:val="00566A88"/>
    <w:rsid w:val="00573855"/>
    <w:rsid w:val="00576E54"/>
    <w:rsid w:val="00584E84"/>
    <w:rsid w:val="00590E9F"/>
    <w:rsid w:val="00593289"/>
    <w:rsid w:val="005A35EE"/>
    <w:rsid w:val="005A3F21"/>
    <w:rsid w:val="005B42C9"/>
    <w:rsid w:val="005B6554"/>
    <w:rsid w:val="005B6BCD"/>
    <w:rsid w:val="005C2936"/>
    <w:rsid w:val="005C2FE0"/>
    <w:rsid w:val="005C6416"/>
    <w:rsid w:val="005C6E6E"/>
    <w:rsid w:val="005D03FA"/>
    <w:rsid w:val="005D2DFD"/>
    <w:rsid w:val="005D730E"/>
    <w:rsid w:val="005F4035"/>
    <w:rsid w:val="006024DD"/>
    <w:rsid w:val="0060628C"/>
    <w:rsid w:val="00611149"/>
    <w:rsid w:val="00614503"/>
    <w:rsid w:val="00634FDD"/>
    <w:rsid w:val="006462B8"/>
    <w:rsid w:val="00651C80"/>
    <w:rsid w:val="00654148"/>
    <w:rsid w:val="00654B5E"/>
    <w:rsid w:val="00657444"/>
    <w:rsid w:val="00657842"/>
    <w:rsid w:val="0066537B"/>
    <w:rsid w:val="00684CEE"/>
    <w:rsid w:val="006852ED"/>
    <w:rsid w:val="00693600"/>
    <w:rsid w:val="006A52A4"/>
    <w:rsid w:val="006A59A4"/>
    <w:rsid w:val="006A685D"/>
    <w:rsid w:val="006B11AF"/>
    <w:rsid w:val="006B4B8E"/>
    <w:rsid w:val="006D6FAC"/>
    <w:rsid w:val="006E6BA5"/>
    <w:rsid w:val="006E700D"/>
    <w:rsid w:val="006E7831"/>
    <w:rsid w:val="00703BD5"/>
    <w:rsid w:val="007240AF"/>
    <w:rsid w:val="007328C8"/>
    <w:rsid w:val="0074244E"/>
    <w:rsid w:val="00744CF2"/>
    <w:rsid w:val="007541DF"/>
    <w:rsid w:val="00756814"/>
    <w:rsid w:val="00770086"/>
    <w:rsid w:val="0078277B"/>
    <w:rsid w:val="00793DB9"/>
    <w:rsid w:val="007A32C8"/>
    <w:rsid w:val="007B0347"/>
    <w:rsid w:val="007B06E0"/>
    <w:rsid w:val="007B1B75"/>
    <w:rsid w:val="007B4FC0"/>
    <w:rsid w:val="007B5CD6"/>
    <w:rsid w:val="007C2230"/>
    <w:rsid w:val="007C3B5A"/>
    <w:rsid w:val="007D4450"/>
    <w:rsid w:val="007D7C2F"/>
    <w:rsid w:val="007E1809"/>
    <w:rsid w:val="007E6392"/>
    <w:rsid w:val="007F1753"/>
    <w:rsid w:val="007F791A"/>
    <w:rsid w:val="0080244C"/>
    <w:rsid w:val="00821E58"/>
    <w:rsid w:val="008226BB"/>
    <w:rsid w:val="00822F7D"/>
    <w:rsid w:val="00832EF5"/>
    <w:rsid w:val="00854ACB"/>
    <w:rsid w:val="008616CE"/>
    <w:rsid w:val="00864957"/>
    <w:rsid w:val="00867263"/>
    <w:rsid w:val="00867A64"/>
    <w:rsid w:val="00874E06"/>
    <w:rsid w:val="008759A4"/>
    <w:rsid w:val="00875FFF"/>
    <w:rsid w:val="008821AE"/>
    <w:rsid w:val="00882431"/>
    <w:rsid w:val="00882703"/>
    <w:rsid w:val="008977CB"/>
    <w:rsid w:val="00897D43"/>
    <w:rsid w:val="008B1FF3"/>
    <w:rsid w:val="008B2973"/>
    <w:rsid w:val="008C40DA"/>
    <w:rsid w:val="008D2259"/>
    <w:rsid w:val="008F0689"/>
    <w:rsid w:val="00902987"/>
    <w:rsid w:val="009137E4"/>
    <w:rsid w:val="0092480E"/>
    <w:rsid w:val="009369CA"/>
    <w:rsid w:val="00945C37"/>
    <w:rsid w:val="00961158"/>
    <w:rsid w:val="00961D1F"/>
    <w:rsid w:val="00962815"/>
    <w:rsid w:val="00966E8A"/>
    <w:rsid w:val="0096716C"/>
    <w:rsid w:val="00974417"/>
    <w:rsid w:val="00976354"/>
    <w:rsid w:val="009831C1"/>
    <w:rsid w:val="009909F1"/>
    <w:rsid w:val="0099305F"/>
    <w:rsid w:val="0099742A"/>
    <w:rsid w:val="009C6740"/>
    <w:rsid w:val="009D7313"/>
    <w:rsid w:val="009E56B2"/>
    <w:rsid w:val="009F2425"/>
    <w:rsid w:val="009F25EF"/>
    <w:rsid w:val="009F3DF5"/>
    <w:rsid w:val="009F4183"/>
    <w:rsid w:val="009F69DE"/>
    <w:rsid w:val="00A0297F"/>
    <w:rsid w:val="00A03B45"/>
    <w:rsid w:val="00A12EC1"/>
    <w:rsid w:val="00A1636B"/>
    <w:rsid w:val="00A24D1C"/>
    <w:rsid w:val="00A363B1"/>
    <w:rsid w:val="00A42037"/>
    <w:rsid w:val="00A438B7"/>
    <w:rsid w:val="00A47272"/>
    <w:rsid w:val="00A524DC"/>
    <w:rsid w:val="00A6676E"/>
    <w:rsid w:val="00A670A4"/>
    <w:rsid w:val="00A757DC"/>
    <w:rsid w:val="00A80168"/>
    <w:rsid w:val="00A81C09"/>
    <w:rsid w:val="00A91301"/>
    <w:rsid w:val="00A94194"/>
    <w:rsid w:val="00A96DDB"/>
    <w:rsid w:val="00AA3A60"/>
    <w:rsid w:val="00AA509F"/>
    <w:rsid w:val="00AA6AA0"/>
    <w:rsid w:val="00AC593C"/>
    <w:rsid w:val="00AE0AB6"/>
    <w:rsid w:val="00AE16DD"/>
    <w:rsid w:val="00AE7C93"/>
    <w:rsid w:val="00AF5018"/>
    <w:rsid w:val="00AF5EE2"/>
    <w:rsid w:val="00AF5F3E"/>
    <w:rsid w:val="00B00273"/>
    <w:rsid w:val="00B14FD2"/>
    <w:rsid w:val="00B15854"/>
    <w:rsid w:val="00B21AF0"/>
    <w:rsid w:val="00B30865"/>
    <w:rsid w:val="00B43F62"/>
    <w:rsid w:val="00B50286"/>
    <w:rsid w:val="00B5036E"/>
    <w:rsid w:val="00B6499B"/>
    <w:rsid w:val="00B743AD"/>
    <w:rsid w:val="00B846D9"/>
    <w:rsid w:val="00B84A38"/>
    <w:rsid w:val="00B84C11"/>
    <w:rsid w:val="00B91256"/>
    <w:rsid w:val="00BC3B2A"/>
    <w:rsid w:val="00BD107A"/>
    <w:rsid w:val="00BD29D5"/>
    <w:rsid w:val="00BD33BB"/>
    <w:rsid w:val="00BD6A8A"/>
    <w:rsid w:val="00BF4643"/>
    <w:rsid w:val="00C0340A"/>
    <w:rsid w:val="00C052D0"/>
    <w:rsid w:val="00C1034A"/>
    <w:rsid w:val="00C31715"/>
    <w:rsid w:val="00C341B9"/>
    <w:rsid w:val="00C500A6"/>
    <w:rsid w:val="00C52250"/>
    <w:rsid w:val="00C57065"/>
    <w:rsid w:val="00C7312E"/>
    <w:rsid w:val="00C7525D"/>
    <w:rsid w:val="00C8541F"/>
    <w:rsid w:val="00CB067A"/>
    <w:rsid w:val="00CC2052"/>
    <w:rsid w:val="00CC30DE"/>
    <w:rsid w:val="00CD4ACE"/>
    <w:rsid w:val="00CD56EA"/>
    <w:rsid w:val="00CE0EF2"/>
    <w:rsid w:val="00CF4447"/>
    <w:rsid w:val="00CF71FB"/>
    <w:rsid w:val="00D02F05"/>
    <w:rsid w:val="00D04C7B"/>
    <w:rsid w:val="00D1084C"/>
    <w:rsid w:val="00D21A2A"/>
    <w:rsid w:val="00D2558A"/>
    <w:rsid w:val="00D26E25"/>
    <w:rsid w:val="00D300FD"/>
    <w:rsid w:val="00D34AA9"/>
    <w:rsid w:val="00D454C3"/>
    <w:rsid w:val="00D55044"/>
    <w:rsid w:val="00D57DA7"/>
    <w:rsid w:val="00D61212"/>
    <w:rsid w:val="00D6612B"/>
    <w:rsid w:val="00D676A4"/>
    <w:rsid w:val="00D75B49"/>
    <w:rsid w:val="00D81E75"/>
    <w:rsid w:val="00D87788"/>
    <w:rsid w:val="00D93E0D"/>
    <w:rsid w:val="00DA2744"/>
    <w:rsid w:val="00DA4645"/>
    <w:rsid w:val="00DC17BC"/>
    <w:rsid w:val="00DC4656"/>
    <w:rsid w:val="00DC7845"/>
    <w:rsid w:val="00DD04B4"/>
    <w:rsid w:val="00DD622B"/>
    <w:rsid w:val="00DD694A"/>
    <w:rsid w:val="00DE5E5D"/>
    <w:rsid w:val="00DF75C4"/>
    <w:rsid w:val="00E005C3"/>
    <w:rsid w:val="00E02D67"/>
    <w:rsid w:val="00E13170"/>
    <w:rsid w:val="00E137D4"/>
    <w:rsid w:val="00E1622E"/>
    <w:rsid w:val="00E35A03"/>
    <w:rsid w:val="00E35CFB"/>
    <w:rsid w:val="00E37A72"/>
    <w:rsid w:val="00E56C37"/>
    <w:rsid w:val="00E57058"/>
    <w:rsid w:val="00E5777A"/>
    <w:rsid w:val="00E6749B"/>
    <w:rsid w:val="00E728EE"/>
    <w:rsid w:val="00E72F25"/>
    <w:rsid w:val="00E85465"/>
    <w:rsid w:val="00E95C98"/>
    <w:rsid w:val="00EA5B27"/>
    <w:rsid w:val="00EA6298"/>
    <w:rsid w:val="00EC116F"/>
    <w:rsid w:val="00EC1A66"/>
    <w:rsid w:val="00EC48B4"/>
    <w:rsid w:val="00EC6DC2"/>
    <w:rsid w:val="00ED2D52"/>
    <w:rsid w:val="00F00C4B"/>
    <w:rsid w:val="00F02556"/>
    <w:rsid w:val="00F06EBD"/>
    <w:rsid w:val="00F13938"/>
    <w:rsid w:val="00F15649"/>
    <w:rsid w:val="00F15C8F"/>
    <w:rsid w:val="00F20019"/>
    <w:rsid w:val="00F20BFD"/>
    <w:rsid w:val="00F32A45"/>
    <w:rsid w:val="00F353A9"/>
    <w:rsid w:val="00F5000F"/>
    <w:rsid w:val="00F54B7C"/>
    <w:rsid w:val="00F6122D"/>
    <w:rsid w:val="00F7029B"/>
    <w:rsid w:val="00F840FE"/>
    <w:rsid w:val="00F86105"/>
    <w:rsid w:val="00F94FC7"/>
    <w:rsid w:val="00FA4BCC"/>
    <w:rsid w:val="00FA7A20"/>
    <w:rsid w:val="00FD5822"/>
    <w:rsid w:val="00FE0FD7"/>
    <w:rsid w:val="00FE105C"/>
    <w:rsid w:val="00FE3E4A"/>
    <w:rsid w:val="00FE76BE"/>
    <w:rsid w:val="00FF2E07"/>
    <w:rsid w:val="5AAEF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CCCA"/>
  <w15:chartTrackingRefBased/>
  <w15:docId w15:val="{8A061501-839D-49A0-8C29-4F447BF9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7C"/>
    <w:pPr>
      <w:spacing w:after="0" w:line="240" w:lineRule="auto"/>
    </w:pPr>
    <w:rPr>
      <w:rFonts w:ascii="Arial" w:hAnsi="Arial"/>
      <w:color w:val="000000" w:themeColor="text1"/>
      <w:sz w:val="24"/>
      <w:szCs w:val="24"/>
    </w:rPr>
  </w:style>
  <w:style w:type="paragraph" w:styleId="Heading2">
    <w:name w:val="heading 2"/>
    <w:basedOn w:val="Normal"/>
    <w:next w:val="Normal"/>
    <w:link w:val="Heading2Char"/>
    <w:uiPriority w:val="9"/>
    <w:semiHidden/>
    <w:unhideWhenUsed/>
    <w:qFormat/>
    <w:rsid w:val="005C2F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223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27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listlevelsub">
    <w:name w:val="multilist level sub"/>
    <w:basedOn w:val="Normal"/>
    <w:qFormat/>
    <w:rsid w:val="000B127C"/>
    <w:pPr>
      <w:numPr>
        <w:ilvl w:val="1"/>
        <w:numId w:val="1"/>
      </w:numPr>
      <w:spacing w:before="200" w:after="200"/>
    </w:pPr>
    <w:rPr>
      <w:rFonts w:cs="Arial"/>
      <w:szCs w:val="32"/>
    </w:rPr>
  </w:style>
  <w:style w:type="paragraph" w:customStyle="1" w:styleId="multilistnumbermain">
    <w:name w:val="multilist number main"/>
    <w:basedOn w:val="ListParagraph"/>
    <w:link w:val="multilistnumbermainChar"/>
    <w:qFormat/>
    <w:rsid w:val="000B127C"/>
    <w:pPr>
      <w:numPr>
        <w:numId w:val="1"/>
      </w:numPr>
      <w:spacing w:before="240" w:after="240"/>
      <w:contextualSpacing w:val="0"/>
    </w:pPr>
    <w:rPr>
      <w:b/>
    </w:rPr>
  </w:style>
  <w:style w:type="character" w:customStyle="1" w:styleId="multilistnumbermainChar">
    <w:name w:val="multilist number main Char"/>
    <w:basedOn w:val="DefaultParagraphFont"/>
    <w:link w:val="multilistnumbermain"/>
    <w:rsid w:val="000B127C"/>
    <w:rPr>
      <w:rFonts w:ascii="Arial" w:hAnsi="Arial"/>
      <w:b/>
      <w:color w:val="000000" w:themeColor="text1"/>
      <w:sz w:val="24"/>
      <w:szCs w:val="24"/>
    </w:rPr>
  </w:style>
  <w:style w:type="table" w:customStyle="1" w:styleId="TableGrid3">
    <w:name w:val="Table Grid3"/>
    <w:basedOn w:val="TableNormal"/>
    <w:next w:val="TableGrid"/>
    <w:uiPriority w:val="59"/>
    <w:rsid w:val="000B127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aliases w:val="HEA Table"/>
    <w:basedOn w:val="TableNormal"/>
    <w:uiPriority w:val="61"/>
    <w:rsid w:val="000B127C"/>
    <w:pPr>
      <w:spacing w:after="0" w:line="240" w:lineRule="auto"/>
    </w:pPr>
    <w:rPr>
      <w:sz w:val="20"/>
      <w:szCs w:val="24"/>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wordWrap/>
        <w:spacing w:beforeLines="100" w:beforeAutospacing="0" w:afterLines="100" w:afterAutospacing="0" w:line="240" w:lineRule="auto"/>
      </w:pPr>
      <w:rPr>
        <w:rFonts w:asciiTheme="majorHAnsi" w:hAnsiTheme="majorHAnsi"/>
        <w:b w:val="0"/>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E7E6E6" w:themeColor="background2"/>
          <w:insideV w:val="single" w:sz="4" w:space="0" w:color="E7E6E6" w:themeColor="background2"/>
        </w:tcBorders>
        <w:shd w:val="clear" w:color="auto" w:fill="5B9BD5" w:themeFill="accent1"/>
      </w:tcPr>
    </w:tblStylePr>
    <w:tblStylePr w:type="lastRow">
      <w:pPr>
        <w:wordWrap/>
        <w:spacing w:beforeLines="20" w:beforeAutospacing="0" w:afterLines="20" w:afterAutospacing="0" w:line="240" w:lineRule="auto"/>
      </w:pPr>
      <w:rPr>
        <w:rFonts w:asciiTheme="minorHAnsi" w:hAnsiTheme="minorHAnsi"/>
        <w:b w:val="0"/>
        <w:bCs/>
        <w:color w:val="auto"/>
        <w:sz w:val="20"/>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H w:val="nil"/>
          <w:insideV w:val="nil"/>
          <w:tl2br w:val="nil"/>
          <w:tr2bl w:val="nil"/>
        </w:tcBorders>
        <w:shd w:val="clear" w:color="auto" w:fill="FFFFFF" w:themeFill="background1"/>
      </w:tcPr>
    </w:tblStylePr>
    <w:tblStylePr w:type="firstCol">
      <w:pPr>
        <w:wordWrap/>
        <w:spacing w:beforeLines="20" w:beforeAutospacing="0" w:afterLines="20" w:afterAutospacing="0"/>
      </w:pPr>
      <w:rPr>
        <w:rFonts w:asciiTheme="majorHAnsi" w:hAnsiTheme="majorHAnsi"/>
        <w:b w:val="0"/>
        <w:bCs/>
        <w:i w:val="0"/>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tblStylePr>
    <w:tblStylePr w:type="lastCol">
      <w:pPr>
        <w:jc w:val="right"/>
      </w:pPr>
      <w:rPr>
        <w:rFonts w:asciiTheme="minorHAnsi" w:hAnsiTheme="minorHAnsi"/>
        <w:b/>
        <w:bCs/>
        <w:color w:val="auto"/>
        <w:sz w:val="20"/>
      </w:rPr>
    </w:tblStylePr>
    <w:tblStylePr w:type="band1Vert">
      <w:tblPr/>
      <w:tcPr>
        <w:shd w:val="clear" w:color="auto" w:fill="DBD9D9" w:themeFill="background2" w:themeFillShade="F2"/>
      </w:tcPr>
    </w:tblStylePr>
  </w:style>
  <w:style w:type="paragraph" w:styleId="ListParagraph">
    <w:name w:val="List Paragraph"/>
    <w:basedOn w:val="Normal"/>
    <w:uiPriority w:val="34"/>
    <w:qFormat/>
    <w:rsid w:val="000B127C"/>
    <w:pPr>
      <w:ind w:left="720"/>
      <w:contextualSpacing/>
    </w:pPr>
  </w:style>
  <w:style w:type="paragraph" w:customStyle="1" w:styleId="HEAHeading3">
    <w:name w:val="HEA Heading 3"/>
    <w:basedOn w:val="Heading3"/>
    <w:next w:val="Normal"/>
    <w:qFormat/>
    <w:rsid w:val="007C2230"/>
    <w:pPr>
      <w:spacing w:before="200" w:after="220"/>
    </w:pPr>
    <w:rPr>
      <w:rFonts w:ascii="Arial" w:hAnsi="Arial"/>
      <w:b/>
      <w:bCs/>
      <w:color w:val="02A4A6"/>
      <w:lang w:val="en-US"/>
    </w:rPr>
  </w:style>
  <w:style w:type="paragraph" w:styleId="BodyText">
    <w:name w:val="Body Text"/>
    <w:basedOn w:val="Normal"/>
    <w:link w:val="BodyTextChar"/>
    <w:uiPriority w:val="1"/>
    <w:rsid w:val="007C2230"/>
    <w:pPr>
      <w:widowControl w:val="0"/>
      <w:spacing w:before="56"/>
      <w:ind w:left="110"/>
    </w:pPr>
    <w:rPr>
      <w:rFonts w:eastAsia="Arial"/>
      <w:color w:val="auto"/>
      <w:sz w:val="26"/>
      <w:szCs w:val="26"/>
      <w:lang w:val="en-US"/>
    </w:rPr>
  </w:style>
  <w:style w:type="character" w:customStyle="1" w:styleId="BodyTextChar">
    <w:name w:val="Body Text Char"/>
    <w:basedOn w:val="DefaultParagraphFont"/>
    <w:link w:val="BodyText"/>
    <w:uiPriority w:val="1"/>
    <w:rsid w:val="007C2230"/>
    <w:rPr>
      <w:rFonts w:ascii="Arial" w:eastAsia="Arial" w:hAnsi="Arial"/>
      <w:sz w:val="26"/>
      <w:szCs w:val="26"/>
      <w:lang w:val="en-US"/>
    </w:rPr>
  </w:style>
  <w:style w:type="character" w:customStyle="1" w:styleId="Heading3Char">
    <w:name w:val="Heading 3 Char"/>
    <w:basedOn w:val="DefaultParagraphFont"/>
    <w:link w:val="Heading3"/>
    <w:uiPriority w:val="9"/>
    <w:semiHidden/>
    <w:rsid w:val="007C2230"/>
    <w:rPr>
      <w:rFonts w:asciiTheme="majorHAnsi" w:eastAsiaTheme="majorEastAsia" w:hAnsiTheme="majorHAnsi" w:cstheme="majorBidi"/>
      <w:color w:val="1F4D78" w:themeColor="accent1" w:themeShade="7F"/>
      <w:sz w:val="24"/>
      <w:szCs w:val="24"/>
    </w:rPr>
  </w:style>
  <w:style w:type="paragraph" w:customStyle="1" w:styleId="HEAHeading2">
    <w:name w:val="HEA Heading 2"/>
    <w:basedOn w:val="Heading2"/>
    <w:next w:val="Normal"/>
    <w:qFormat/>
    <w:rsid w:val="005C2FE0"/>
    <w:pPr>
      <w:spacing w:after="220"/>
    </w:pPr>
    <w:rPr>
      <w:rFonts w:ascii="Chalet-NewYorkNineteenSixty" w:hAnsi="Chalet-NewYorkNineteenSixty"/>
      <w:color w:val="544587"/>
      <w:lang w:val="en-US"/>
    </w:rPr>
  </w:style>
  <w:style w:type="character" w:customStyle="1" w:styleId="Heading2Char">
    <w:name w:val="Heading 2 Char"/>
    <w:basedOn w:val="DefaultParagraphFont"/>
    <w:link w:val="Heading2"/>
    <w:uiPriority w:val="9"/>
    <w:semiHidden/>
    <w:rsid w:val="005C2FE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E6BA5"/>
    <w:pPr>
      <w:tabs>
        <w:tab w:val="center" w:pos="4513"/>
        <w:tab w:val="right" w:pos="9026"/>
      </w:tabs>
    </w:pPr>
  </w:style>
  <w:style w:type="character" w:customStyle="1" w:styleId="HeaderChar">
    <w:name w:val="Header Char"/>
    <w:basedOn w:val="DefaultParagraphFont"/>
    <w:link w:val="Header"/>
    <w:uiPriority w:val="99"/>
    <w:rsid w:val="006E6BA5"/>
    <w:rPr>
      <w:rFonts w:ascii="Arial" w:hAnsi="Arial"/>
      <w:color w:val="000000" w:themeColor="text1"/>
      <w:sz w:val="24"/>
      <w:szCs w:val="24"/>
    </w:rPr>
  </w:style>
  <w:style w:type="paragraph" w:styleId="Footer">
    <w:name w:val="footer"/>
    <w:basedOn w:val="Normal"/>
    <w:link w:val="FooterChar"/>
    <w:uiPriority w:val="99"/>
    <w:unhideWhenUsed/>
    <w:rsid w:val="006E6BA5"/>
    <w:pPr>
      <w:tabs>
        <w:tab w:val="center" w:pos="4513"/>
        <w:tab w:val="right" w:pos="9026"/>
      </w:tabs>
    </w:pPr>
  </w:style>
  <w:style w:type="character" w:customStyle="1" w:styleId="FooterChar">
    <w:name w:val="Footer Char"/>
    <w:basedOn w:val="DefaultParagraphFont"/>
    <w:link w:val="Footer"/>
    <w:uiPriority w:val="99"/>
    <w:rsid w:val="006E6BA5"/>
    <w:rPr>
      <w:rFonts w:ascii="Arial" w:hAnsi="Arial"/>
      <w:color w:val="000000" w:themeColor="text1"/>
      <w:sz w:val="24"/>
      <w:szCs w:val="24"/>
    </w:rPr>
  </w:style>
  <w:style w:type="paragraph" w:styleId="NormalWeb">
    <w:name w:val="Normal (Web)"/>
    <w:basedOn w:val="Normal"/>
    <w:uiPriority w:val="99"/>
    <w:unhideWhenUsed/>
    <w:rsid w:val="00945C37"/>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27">
      <w:bodyDiv w:val="1"/>
      <w:marLeft w:val="0"/>
      <w:marRight w:val="0"/>
      <w:marTop w:val="0"/>
      <w:marBottom w:val="0"/>
      <w:divBdr>
        <w:top w:val="none" w:sz="0" w:space="0" w:color="auto"/>
        <w:left w:val="none" w:sz="0" w:space="0" w:color="auto"/>
        <w:bottom w:val="none" w:sz="0" w:space="0" w:color="auto"/>
        <w:right w:val="none" w:sz="0" w:space="0" w:color="auto"/>
      </w:divBdr>
    </w:div>
    <w:div w:id="32004907">
      <w:bodyDiv w:val="1"/>
      <w:marLeft w:val="0"/>
      <w:marRight w:val="0"/>
      <w:marTop w:val="0"/>
      <w:marBottom w:val="0"/>
      <w:divBdr>
        <w:top w:val="none" w:sz="0" w:space="0" w:color="auto"/>
        <w:left w:val="none" w:sz="0" w:space="0" w:color="auto"/>
        <w:bottom w:val="none" w:sz="0" w:space="0" w:color="auto"/>
        <w:right w:val="none" w:sz="0" w:space="0" w:color="auto"/>
      </w:divBdr>
    </w:div>
    <w:div w:id="43414296">
      <w:bodyDiv w:val="1"/>
      <w:marLeft w:val="0"/>
      <w:marRight w:val="0"/>
      <w:marTop w:val="0"/>
      <w:marBottom w:val="0"/>
      <w:divBdr>
        <w:top w:val="none" w:sz="0" w:space="0" w:color="auto"/>
        <w:left w:val="none" w:sz="0" w:space="0" w:color="auto"/>
        <w:bottom w:val="none" w:sz="0" w:space="0" w:color="auto"/>
        <w:right w:val="none" w:sz="0" w:space="0" w:color="auto"/>
      </w:divBdr>
    </w:div>
    <w:div w:id="47144354">
      <w:bodyDiv w:val="1"/>
      <w:marLeft w:val="0"/>
      <w:marRight w:val="0"/>
      <w:marTop w:val="0"/>
      <w:marBottom w:val="0"/>
      <w:divBdr>
        <w:top w:val="none" w:sz="0" w:space="0" w:color="auto"/>
        <w:left w:val="none" w:sz="0" w:space="0" w:color="auto"/>
        <w:bottom w:val="none" w:sz="0" w:space="0" w:color="auto"/>
        <w:right w:val="none" w:sz="0" w:space="0" w:color="auto"/>
      </w:divBdr>
    </w:div>
    <w:div w:id="54933477">
      <w:bodyDiv w:val="1"/>
      <w:marLeft w:val="0"/>
      <w:marRight w:val="0"/>
      <w:marTop w:val="0"/>
      <w:marBottom w:val="0"/>
      <w:divBdr>
        <w:top w:val="none" w:sz="0" w:space="0" w:color="auto"/>
        <w:left w:val="none" w:sz="0" w:space="0" w:color="auto"/>
        <w:bottom w:val="none" w:sz="0" w:space="0" w:color="auto"/>
        <w:right w:val="none" w:sz="0" w:space="0" w:color="auto"/>
      </w:divBdr>
    </w:div>
    <w:div w:id="72943722">
      <w:bodyDiv w:val="1"/>
      <w:marLeft w:val="0"/>
      <w:marRight w:val="0"/>
      <w:marTop w:val="0"/>
      <w:marBottom w:val="0"/>
      <w:divBdr>
        <w:top w:val="none" w:sz="0" w:space="0" w:color="auto"/>
        <w:left w:val="none" w:sz="0" w:space="0" w:color="auto"/>
        <w:bottom w:val="none" w:sz="0" w:space="0" w:color="auto"/>
        <w:right w:val="none" w:sz="0" w:space="0" w:color="auto"/>
      </w:divBdr>
    </w:div>
    <w:div w:id="74402313">
      <w:bodyDiv w:val="1"/>
      <w:marLeft w:val="0"/>
      <w:marRight w:val="0"/>
      <w:marTop w:val="0"/>
      <w:marBottom w:val="0"/>
      <w:divBdr>
        <w:top w:val="none" w:sz="0" w:space="0" w:color="auto"/>
        <w:left w:val="none" w:sz="0" w:space="0" w:color="auto"/>
        <w:bottom w:val="none" w:sz="0" w:space="0" w:color="auto"/>
        <w:right w:val="none" w:sz="0" w:space="0" w:color="auto"/>
      </w:divBdr>
    </w:div>
    <w:div w:id="77095579">
      <w:bodyDiv w:val="1"/>
      <w:marLeft w:val="0"/>
      <w:marRight w:val="0"/>
      <w:marTop w:val="0"/>
      <w:marBottom w:val="0"/>
      <w:divBdr>
        <w:top w:val="none" w:sz="0" w:space="0" w:color="auto"/>
        <w:left w:val="none" w:sz="0" w:space="0" w:color="auto"/>
        <w:bottom w:val="none" w:sz="0" w:space="0" w:color="auto"/>
        <w:right w:val="none" w:sz="0" w:space="0" w:color="auto"/>
      </w:divBdr>
    </w:div>
    <w:div w:id="111481726">
      <w:bodyDiv w:val="1"/>
      <w:marLeft w:val="0"/>
      <w:marRight w:val="0"/>
      <w:marTop w:val="0"/>
      <w:marBottom w:val="0"/>
      <w:divBdr>
        <w:top w:val="none" w:sz="0" w:space="0" w:color="auto"/>
        <w:left w:val="none" w:sz="0" w:space="0" w:color="auto"/>
        <w:bottom w:val="none" w:sz="0" w:space="0" w:color="auto"/>
        <w:right w:val="none" w:sz="0" w:space="0" w:color="auto"/>
      </w:divBdr>
    </w:div>
    <w:div w:id="112790245">
      <w:bodyDiv w:val="1"/>
      <w:marLeft w:val="0"/>
      <w:marRight w:val="0"/>
      <w:marTop w:val="0"/>
      <w:marBottom w:val="0"/>
      <w:divBdr>
        <w:top w:val="none" w:sz="0" w:space="0" w:color="auto"/>
        <w:left w:val="none" w:sz="0" w:space="0" w:color="auto"/>
        <w:bottom w:val="none" w:sz="0" w:space="0" w:color="auto"/>
        <w:right w:val="none" w:sz="0" w:space="0" w:color="auto"/>
      </w:divBdr>
    </w:div>
    <w:div w:id="165219322">
      <w:bodyDiv w:val="1"/>
      <w:marLeft w:val="0"/>
      <w:marRight w:val="0"/>
      <w:marTop w:val="0"/>
      <w:marBottom w:val="0"/>
      <w:divBdr>
        <w:top w:val="none" w:sz="0" w:space="0" w:color="auto"/>
        <w:left w:val="none" w:sz="0" w:space="0" w:color="auto"/>
        <w:bottom w:val="none" w:sz="0" w:space="0" w:color="auto"/>
        <w:right w:val="none" w:sz="0" w:space="0" w:color="auto"/>
      </w:divBdr>
    </w:div>
    <w:div w:id="186987721">
      <w:bodyDiv w:val="1"/>
      <w:marLeft w:val="0"/>
      <w:marRight w:val="0"/>
      <w:marTop w:val="0"/>
      <w:marBottom w:val="0"/>
      <w:divBdr>
        <w:top w:val="none" w:sz="0" w:space="0" w:color="auto"/>
        <w:left w:val="none" w:sz="0" w:space="0" w:color="auto"/>
        <w:bottom w:val="none" w:sz="0" w:space="0" w:color="auto"/>
        <w:right w:val="none" w:sz="0" w:space="0" w:color="auto"/>
      </w:divBdr>
    </w:div>
    <w:div w:id="209269045">
      <w:bodyDiv w:val="1"/>
      <w:marLeft w:val="0"/>
      <w:marRight w:val="0"/>
      <w:marTop w:val="0"/>
      <w:marBottom w:val="0"/>
      <w:divBdr>
        <w:top w:val="none" w:sz="0" w:space="0" w:color="auto"/>
        <w:left w:val="none" w:sz="0" w:space="0" w:color="auto"/>
        <w:bottom w:val="none" w:sz="0" w:space="0" w:color="auto"/>
        <w:right w:val="none" w:sz="0" w:space="0" w:color="auto"/>
      </w:divBdr>
    </w:div>
    <w:div w:id="230778523">
      <w:bodyDiv w:val="1"/>
      <w:marLeft w:val="0"/>
      <w:marRight w:val="0"/>
      <w:marTop w:val="0"/>
      <w:marBottom w:val="0"/>
      <w:divBdr>
        <w:top w:val="none" w:sz="0" w:space="0" w:color="auto"/>
        <w:left w:val="none" w:sz="0" w:space="0" w:color="auto"/>
        <w:bottom w:val="none" w:sz="0" w:space="0" w:color="auto"/>
        <w:right w:val="none" w:sz="0" w:space="0" w:color="auto"/>
      </w:divBdr>
    </w:div>
    <w:div w:id="273095763">
      <w:bodyDiv w:val="1"/>
      <w:marLeft w:val="0"/>
      <w:marRight w:val="0"/>
      <w:marTop w:val="0"/>
      <w:marBottom w:val="0"/>
      <w:divBdr>
        <w:top w:val="none" w:sz="0" w:space="0" w:color="auto"/>
        <w:left w:val="none" w:sz="0" w:space="0" w:color="auto"/>
        <w:bottom w:val="none" w:sz="0" w:space="0" w:color="auto"/>
        <w:right w:val="none" w:sz="0" w:space="0" w:color="auto"/>
      </w:divBdr>
    </w:div>
    <w:div w:id="282347351">
      <w:bodyDiv w:val="1"/>
      <w:marLeft w:val="0"/>
      <w:marRight w:val="0"/>
      <w:marTop w:val="0"/>
      <w:marBottom w:val="0"/>
      <w:divBdr>
        <w:top w:val="none" w:sz="0" w:space="0" w:color="auto"/>
        <w:left w:val="none" w:sz="0" w:space="0" w:color="auto"/>
        <w:bottom w:val="none" w:sz="0" w:space="0" w:color="auto"/>
        <w:right w:val="none" w:sz="0" w:space="0" w:color="auto"/>
      </w:divBdr>
    </w:div>
    <w:div w:id="302856283">
      <w:bodyDiv w:val="1"/>
      <w:marLeft w:val="0"/>
      <w:marRight w:val="0"/>
      <w:marTop w:val="0"/>
      <w:marBottom w:val="0"/>
      <w:divBdr>
        <w:top w:val="none" w:sz="0" w:space="0" w:color="auto"/>
        <w:left w:val="none" w:sz="0" w:space="0" w:color="auto"/>
        <w:bottom w:val="none" w:sz="0" w:space="0" w:color="auto"/>
        <w:right w:val="none" w:sz="0" w:space="0" w:color="auto"/>
      </w:divBdr>
    </w:div>
    <w:div w:id="306204433">
      <w:bodyDiv w:val="1"/>
      <w:marLeft w:val="0"/>
      <w:marRight w:val="0"/>
      <w:marTop w:val="0"/>
      <w:marBottom w:val="0"/>
      <w:divBdr>
        <w:top w:val="none" w:sz="0" w:space="0" w:color="auto"/>
        <w:left w:val="none" w:sz="0" w:space="0" w:color="auto"/>
        <w:bottom w:val="none" w:sz="0" w:space="0" w:color="auto"/>
        <w:right w:val="none" w:sz="0" w:space="0" w:color="auto"/>
      </w:divBdr>
    </w:div>
    <w:div w:id="325599488">
      <w:bodyDiv w:val="1"/>
      <w:marLeft w:val="0"/>
      <w:marRight w:val="0"/>
      <w:marTop w:val="0"/>
      <w:marBottom w:val="0"/>
      <w:divBdr>
        <w:top w:val="none" w:sz="0" w:space="0" w:color="auto"/>
        <w:left w:val="none" w:sz="0" w:space="0" w:color="auto"/>
        <w:bottom w:val="none" w:sz="0" w:space="0" w:color="auto"/>
        <w:right w:val="none" w:sz="0" w:space="0" w:color="auto"/>
      </w:divBdr>
    </w:div>
    <w:div w:id="330379217">
      <w:bodyDiv w:val="1"/>
      <w:marLeft w:val="0"/>
      <w:marRight w:val="0"/>
      <w:marTop w:val="0"/>
      <w:marBottom w:val="0"/>
      <w:divBdr>
        <w:top w:val="none" w:sz="0" w:space="0" w:color="auto"/>
        <w:left w:val="none" w:sz="0" w:space="0" w:color="auto"/>
        <w:bottom w:val="none" w:sz="0" w:space="0" w:color="auto"/>
        <w:right w:val="none" w:sz="0" w:space="0" w:color="auto"/>
      </w:divBdr>
    </w:div>
    <w:div w:id="333731495">
      <w:bodyDiv w:val="1"/>
      <w:marLeft w:val="0"/>
      <w:marRight w:val="0"/>
      <w:marTop w:val="0"/>
      <w:marBottom w:val="0"/>
      <w:divBdr>
        <w:top w:val="none" w:sz="0" w:space="0" w:color="auto"/>
        <w:left w:val="none" w:sz="0" w:space="0" w:color="auto"/>
        <w:bottom w:val="none" w:sz="0" w:space="0" w:color="auto"/>
        <w:right w:val="none" w:sz="0" w:space="0" w:color="auto"/>
      </w:divBdr>
    </w:div>
    <w:div w:id="337319427">
      <w:bodyDiv w:val="1"/>
      <w:marLeft w:val="0"/>
      <w:marRight w:val="0"/>
      <w:marTop w:val="0"/>
      <w:marBottom w:val="0"/>
      <w:divBdr>
        <w:top w:val="none" w:sz="0" w:space="0" w:color="auto"/>
        <w:left w:val="none" w:sz="0" w:space="0" w:color="auto"/>
        <w:bottom w:val="none" w:sz="0" w:space="0" w:color="auto"/>
        <w:right w:val="none" w:sz="0" w:space="0" w:color="auto"/>
      </w:divBdr>
    </w:div>
    <w:div w:id="363749001">
      <w:bodyDiv w:val="1"/>
      <w:marLeft w:val="0"/>
      <w:marRight w:val="0"/>
      <w:marTop w:val="0"/>
      <w:marBottom w:val="0"/>
      <w:divBdr>
        <w:top w:val="none" w:sz="0" w:space="0" w:color="auto"/>
        <w:left w:val="none" w:sz="0" w:space="0" w:color="auto"/>
        <w:bottom w:val="none" w:sz="0" w:space="0" w:color="auto"/>
        <w:right w:val="none" w:sz="0" w:space="0" w:color="auto"/>
      </w:divBdr>
    </w:div>
    <w:div w:id="377977032">
      <w:bodyDiv w:val="1"/>
      <w:marLeft w:val="0"/>
      <w:marRight w:val="0"/>
      <w:marTop w:val="0"/>
      <w:marBottom w:val="0"/>
      <w:divBdr>
        <w:top w:val="none" w:sz="0" w:space="0" w:color="auto"/>
        <w:left w:val="none" w:sz="0" w:space="0" w:color="auto"/>
        <w:bottom w:val="none" w:sz="0" w:space="0" w:color="auto"/>
        <w:right w:val="none" w:sz="0" w:space="0" w:color="auto"/>
      </w:divBdr>
    </w:div>
    <w:div w:id="390277631">
      <w:bodyDiv w:val="1"/>
      <w:marLeft w:val="0"/>
      <w:marRight w:val="0"/>
      <w:marTop w:val="0"/>
      <w:marBottom w:val="0"/>
      <w:divBdr>
        <w:top w:val="none" w:sz="0" w:space="0" w:color="auto"/>
        <w:left w:val="none" w:sz="0" w:space="0" w:color="auto"/>
        <w:bottom w:val="none" w:sz="0" w:space="0" w:color="auto"/>
        <w:right w:val="none" w:sz="0" w:space="0" w:color="auto"/>
      </w:divBdr>
    </w:div>
    <w:div w:id="402339674">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418454870">
      <w:bodyDiv w:val="1"/>
      <w:marLeft w:val="0"/>
      <w:marRight w:val="0"/>
      <w:marTop w:val="0"/>
      <w:marBottom w:val="0"/>
      <w:divBdr>
        <w:top w:val="none" w:sz="0" w:space="0" w:color="auto"/>
        <w:left w:val="none" w:sz="0" w:space="0" w:color="auto"/>
        <w:bottom w:val="none" w:sz="0" w:space="0" w:color="auto"/>
        <w:right w:val="none" w:sz="0" w:space="0" w:color="auto"/>
      </w:divBdr>
    </w:div>
    <w:div w:id="421872738">
      <w:bodyDiv w:val="1"/>
      <w:marLeft w:val="0"/>
      <w:marRight w:val="0"/>
      <w:marTop w:val="0"/>
      <w:marBottom w:val="0"/>
      <w:divBdr>
        <w:top w:val="none" w:sz="0" w:space="0" w:color="auto"/>
        <w:left w:val="none" w:sz="0" w:space="0" w:color="auto"/>
        <w:bottom w:val="none" w:sz="0" w:space="0" w:color="auto"/>
        <w:right w:val="none" w:sz="0" w:space="0" w:color="auto"/>
      </w:divBdr>
    </w:div>
    <w:div w:id="484857487">
      <w:bodyDiv w:val="1"/>
      <w:marLeft w:val="0"/>
      <w:marRight w:val="0"/>
      <w:marTop w:val="0"/>
      <w:marBottom w:val="0"/>
      <w:divBdr>
        <w:top w:val="none" w:sz="0" w:space="0" w:color="auto"/>
        <w:left w:val="none" w:sz="0" w:space="0" w:color="auto"/>
        <w:bottom w:val="none" w:sz="0" w:space="0" w:color="auto"/>
        <w:right w:val="none" w:sz="0" w:space="0" w:color="auto"/>
      </w:divBdr>
    </w:div>
    <w:div w:id="486243101">
      <w:bodyDiv w:val="1"/>
      <w:marLeft w:val="0"/>
      <w:marRight w:val="0"/>
      <w:marTop w:val="0"/>
      <w:marBottom w:val="0"/>
      <w:divBdr>
        <w:top w:val="none" w:sz="0" w:space="0" w:color="auto"/>
        <w:left w:val="none" w:sz="0" w:space="0" w:color="auto"/>
        <w:bottom w:val="none" w:sz="0" w:space="0" w:color="auto"/>
        <w:right w:val="none" w:sz="0" w:space="0" w:color="auto"/>
      </w:divBdr>
    </w:div>
    <w:div w:id="491258882">
      <w:bodyDiv w:val="1"/>
      <w:marLeft w:val="0"/>
      <w:marRight w:val="0"/>
      <w:marTop w:val="0"/>
      <w:marBottom w:val="0"/>
      <w:divBdr>
        <w:top w:val="none" w:sz="0" w:space="0" w:color="auto"/>
        <w:left w:val="none" w:sz="0" w:space="0" w:color="auto"/>
        <w:bottom w:val="none" w:sz="0" w:space="0" w:color="auto"/>
        <w:right w:val="none" w:sz="0" w:space="0" w:color="auto"/>
      </w:divBdr>
    </w:div>
    <w:div w:id="525338146">
      <w:bodyDiv w:val="1"/>
      <w:marLeft w:val="0"/>
      <w:marRight w:val="0"/>
      <w:marTop w:val="0"/>
      <w:marBottom w:val="0"/>
      <w:divBdr>
        <w:top w:val="none" w:sz="0" w:space="0" w:color="auto"/>
        <w:left w:val="none" w:sz="0" w:space="0" w:color="auto"/>
        <w:bottom w:val="none" w:sz="0" w:space="0" w:color="auto"/>
        <w:right w:val="none" w:sz="0" w:space="0" w:color="auto"/>
      </w:divBdr>
    </w:div>
    <w:div w:id="528839358">
      <w:bodyDiv w:val="1"/>
      <w:marLeft w:val="0"/>
      <w:marRight w:val="0"/>
      <w:marTop w:val="0"/>
      <w:marBottom w:val="0"/>
      <w:divBdr>
        <w:top w:val="none" w:sz="0" w:space="0" w:color="auto"/>
        <w:left w:val="none" w:sz="0" w:space="0" w:color="auto"/>
        <w:bottom w:val="none" w:sz="0" w:space="0" w:color="auto"/>
        <w:right w:val="none" w:sz="0" w:space="0" w:color="auto"/>
      </w:divBdr>
    </w:div>
    <w:div w:id="533276782">
      <w:bodyDiv w:val="1"/>
      <w:marLeft w:val="0"/>
      <w:marRight w:val="0"/>
      <w:marTop w:val="0"/>
      <w:marBottom w:val="0"/>
      <w:divBdr>
        <w:top w:val="none" w:sz="0" w:space="0" w:color="auto"/>
        <w:left w:val="none" w:sz="0" w:space="0" w:color="auto"/>
        <w:bottom w:val="none" w:sz="0" w:space="0" w:color="auto"/>
        <w:right w:val="none" w:sz="0" w:space="0" w:color="auto"/>
      </w:divBdr>
    </w:div>
    <w:div w:id="540898280">
      <w:bodyDiv w:val="1"/>
      <w:marLeft w:val="0"/>
      <w:marRight w:val="0"/>
      <w:marTop w:val="0"/>
      <w:marBottom w:val="0"/>
      <w:divBdr>
        <w:top w:val="none" w:sz="0" w:space="0" w:color="auto"/>
        <w:left w:val="none" w:sz="0" w:space="0" w:color="auto"/>
        <w:bottom w:val="none" w:sz="0" w:space="0" w:color="auto"/>
        <w:right w:val="none" w:sz="0" w:space="0" w:color="auto"/>
      </w:divBdr>
    </w:div>
    <w:div w:id="541214945">
      <w:bodyDiv w:val="1"/>
      <w:marLeft w:val="0"/>
      <w:marRight w:val="0"/>
      <w:marTop w:val="0"/>
      <w:marBottom w:val="0"/>
      <w:divBdr>
        <w:top w:val="none" w:sz="0" w:space="0" w:color="auto"/>
        <w:left w:val="none" w:sz="0" w:space="0" w:color="auto"/>
        <w:bottom w:val="none" w:sz="0" w:space="0" w:color="auto"/>
        <w:right w:val="none" w:sz="0" w:space="0" w:color="auto"/>
      </w:divBdr>
    </w:div>
    <w:div w:id="598678366">
      <w:bodyDiv w:val="1"/>
      <w:marLeft w:val="0"/>
      <w:marRight w:val="0"/>
      <w:marTop w:val="0"/>
      <w:marBottom w:val="0"/>
      <w:divBdr>
        <w:top w:val="none" w:sz="0" w:space="0" w:color="auto"/>
        <w:left w:val="none" w:sz="0" w:space="0" w:color="auto"/>
        <w:bottom w:val="none" w:sz="0" w:space="0" w:color="auto"/>
        <w:right w:val="none" w:sz="0" w:space="0" w:color="auto"/>
      </w:divBdr>
    </w:div>
    <w:div w:id="621499679">
      <w:bodyDiv w:val="1"/>
      <w:marLeft w:val="0"/>
      <w:marRight w:val="0"/>
      <w:marTop w:val="0"/>
      <w:marBottom w:val="0"/>
      <w:divBdr>
        <w:top w:val="none" w:sz="0" w:space="0" w:color="auto"/>
        <w:left w:val="none" w:sz="0" w:space="0" w:color="auto"/>
        <w:bottom w:val="none" w:sz="0" w:space="0" w:color="auto"/>
        <w:right w:val="none" w:sz="0" w:space="0" w:color="auto"/>
      </w:divBdr>
    </w:div>
    <w:div w:id="633871786">
      <w:bodyDiv w:val="1"/>
      <w:marLeft w:val="0"/>
      <w:marRight w:val="0"/>
      <w:marTop w:val="0"/>
      <w:marBottom w:val="0"/>
      <w:divBdr>
        <w:top w:val="none" w:sz="0" w:space="0" w:color="auto"/>
        <w:left w:val="none" w:sz="0" w:space="0" w:color="auto"/>
        <w:bottom w:val="none" w:sz="0" w:space="0" w:color="auto"/>
        <w:right w:val="none" w:sz="0" w:space="0" w:color="auto"/>
      </w:divBdr>
    </w:div>
    <w:div w:id="679894196">
      <w:bodyDiv w:val="1"/>
      <w:marLeft w:val="0"/>
      <w:marRight w:val="0"/>
      <w:marTop w:val="0"/>
      <w:marBottom w:val="0"/>
      <w:divBdr>
        <w:top w:val="none" w:sz="0" w:space="0" w:color="auto"/>
        <w:left w:val="none" w:sz="0" w:space="0" w:color="auto"/>
        <w:bottom w:val="none" w:sz="0" w:space="0" w:color="auto"/>
        <w:right w:val="none" w:sz="0" w:space="0" w:color="auto"/>
      </w:divBdr>
    </w:div>
    <w:div w:id="707951375">
      <w:bodyDiv w:val="1"/>
      <w:marLeft w:val="0"/>
      <w:marRight w:val="0"/>
      <w:marTop w:val="0"/>
      <w:marBottom w:val="0"/>
      <w:divBdr>
        <w:top w:val="none" w:sz="0" w:space="0" w:color="auto"/>
        <w:left w:val="none" w:sz="0" w:space="0" w:color="auto"/>
        <w:bottom w:val="none" w:sz="0" w:space="0" w:color="auto"/>
        <w:right w:val="none" w:sz="0" w:space="0" w:color="auto"/>
      </w:divBdr>
    </w:div>
    <w:div w:id="715617613">
      <w:bodyDiv w:val="1"/>
      <w:marLeft w:val="0"/>
      <w:marRight w:val="0"/>
      <w:marTop w:val="0"/>
      <w:marBottom w:val="0"/>
      <w:divBdr>
        <w:top w:val="none" w:sz="0" w:space="0" w:color="auto"/>
        <w:left w:val="none" w:sz="0" w:space="0" w:color="auto"/>
        <w:bottom w:val="none" w:sz="0" w:space="0" w:color="auto"/>
        <w:right w:val="none" w:sz="0" w:space="0" w:color="auto"/>
      </w:divBdr>
    </w:div>
    <w:div w:id="738333824">
      <w:bodyDiv w:val="1"/>
      <w:marLeft w:val="0"/>
      <w:marRight w:val="0"/>
      <w:marTop w:val="0"/>
      <w:marBottom w:val="0"/>
      <w:divBdr>
        <w:top w:val="none" w:sz="0" w:space="0" w:color="auto"/>
        <w:left w:val="none" w:sz="0" w:space="0" w:color="auto"/>
        <w:bottom w:val="none" w:sz="0" w:space="0" w:color="auto"/>
        <w:right w:val="none" w:sz="0" w:space="0" w:color="auto"/>
      </w:divBdr>
    </w:div>
    <w:div w:id="742408346">
      <w:bodyDiv w:val="1"/>
      <w:marLeft w:val="0"/>
      <w:marRight w:val="0"/>
      <w:marTop w:val="0"/>
      <w:marBottom w:val="0"/>
      <w:divBdr>
        <w:top w:val="none" w:sz="0" w:space="0" w:color="auto"/>
        <w:left w:val="none" w:sz="0" w:space="0" w:color="auto"/>
        <w:bottom w:val="none" w:sz="0" w:space="0" w:color="auto"/>
        <w:right w:val="none" w:sz="0" w:space="0" w:color="auto"/>
      </w:divBdr>
    </w:div>
    <w:div w:id="763451481">
      <w:bodyDiv w:val="1"/>
      <w:marLeft w:val="0"/>
      <w:marRight w:val="0"/>
      <w:marTop w:val="0"/>
      <w:marBottom w:val="0"/>
      <w:divBdr>
        <w:top w:val="none" w:sz="0" w:space="0" w:color="auto"/>
        <w:left w:val="none" w:sz="0" w:space="0" w:color="auto"/>
        <w:bottom w:val="none" w:sz="0" w:space="0" w:color="auto"/>
        <w:right w:val="none" w:sz="0" w:space="0" w:color="auto"/>
      </w:divBdr>
    </w:div>
    <w:div w:id="774861585">
      <w:bodyDiv w:val="1"/>
      <w:marLeft w:val="0"/>
      <w:marRight w:val="0"/>
      <w:marTop w:val="0"/>
      <w:marBottom w:val="0"/>
      <w:divBdr>
        <w:top w:val="none" w:sz="0" w:space="0" w:color="auto"/>
        <w:left w:val="none" w:sz="0" w:space="0" w:color="auto"/>
        <w:bottom w:val="none" w:sz="0" w:space="0" w:color="auto"/>
        <w:right w:val="none" w:sz="0" w:space="0" w:color="auto"/>
      </w:divBdr>
    </w:div>
    <w:div w:id="775566869">
      <w:bodyDiv w:val="1"/>
      <w:marLeft w:val="0"/>
      <w:marRight w:val="0"/>
      <w:marTop w:val="0"/>
      <w:marBottom w:val="0"/>
      <w:divBdr>
        <w:top w:val="none" w:sz="0" w:space="0" w:color="auto"/>
        <w:left w:val="none" w:sz="0" w:space="0" w:color="auto"/>
        <w:bottom w:val="none" w:sz="0" w:space="0" w:color="auto"/>
        <w:right w:val="none" w:sz="0" w:space="0" w:color="auto"/>
      </w:divBdr>
    </w:div>
    <w:div w:id="800810867">
      <w:bodyDiv w:val="1"/>
      <w:marLeft w:val="0"/>
      <w:marRight w:val="0"/>
      <w:marTop w:val="0"/>
      <w:marBottom w:val="0"/>
      <w:divBdr>
        <w:top w:val="none" w:sz="0" w:space="0" w:color="auto"/>
        <w:left w:val="none" w:sz="0" w:space="0" w:color="auto"/>
        <w:bottom w:val="none" w:sz="0" w:space="0" w:color="auto"/>
        <w:right w:val="none" w:sz="0" w:space="0" w:color="auto"/>
      </w:divBdr>
    </w:div>
    <w:div w:id="813135407">
      <w:bodyDiv w:val="1"/>
      <w:marLeft w:val="0"/>
      <w:marRight w:val="0"/>
      <w:marTop w:val="0"/>
      <w:marBottom w:val="0"/>
      <w:divBdr>
        <w:top w:val="none" w:sz="0" w:space="0" w:color="auto"/>
        <w:left w:val="none" w:sz="0" w:space="0" w:color="auto"/>
        <w:bottom w:val="none" w:sz="0" w:space="0" w:color="auto"/>
        <w:right w:val="none" w:sz="0" w:space="0" w:color="auto"/>
      </w:divBdr>
    </w:div>
    <w:div w:id="853224417">
      <w:bodyDiv w:val="1"/>
      <w:marLeft w:val="0"/>
      <w:marRight w:val="0"/>
      <w:marTop w:val="0"/>
      <w:marBottom w:val="0"/>
      <w:divBdr>
        <w:top w:val="none" w:sz="0" w:space="0" w:color="auto"/>
        <w:left w:val="none" w:sz="0" w:space="0" w:color="auto"/>
        <w:bottom w:val="none" w:sz="0" w:space="0" w:color="auto"/>
        <w:right w:val="none" w:sz="0" w:space="0" w:color="auto"/>
      </w:divBdr>
    </w:div>
    <w:div w:id="854003074">
      <w:bodyDiv w:val="1"/>
      <w:marLeft w:val="0"/>
      <w:marRight w:val="0"/>
      <w:marTop w:val="0"/>
      <w:marBottom w:val="0"/>
      <w:divBdr>
        <w:top w:val="none" w:sz="0" w:space="0" w:color="auto"/>
        <w:left w:val="none" w:sz="0" w:space="0" w:color="auto"/>
        <w:bottom w:val="none" w:sz="0" w:space="0" w:color="auto"/>
        <w:right w:val="none" w:sz="0" w:space="0" w:color="auto"/>
      </w:divBdr>
    </w:div>
    <w:div w:id="856120355">
      <w:bodyDiv w:val="1"/>
      <w:marLeft w:val="0"/>
      <w:marRight w:val="0"/>
      <w:marTop w:val="0"/>
      <w:marBottom w:val="0"/>
      <w:divBdr>
        <w:top w:val="none" w:sz="0" w:space="0" w:color="auto"/>
        <w:left w:val="none" w:sz="0" w:space="0" w:color="auto"/>
        <w:bottom w:val="none" w:sz="0" w:space="0" w:color="auto"/>
        <w:right w:val="none" w:sz="0" w:space="0" w:color="auto"/>
      </w:divBdr>
    </w:div>
    <w:div w:id="883368515">
      <w:bodyDiv w:val="1"/>
      <w:marLeft w:val="0"/>
      <w:marRight w:val="0"/>
      <w:marTop w:val="0"/>
      <w:marBottom w:val="0"/>
      <w:divBdr>
        <w:top w:val="none" w:sz="0" w:space="0" w:color="auto"/>
        <w:left w:val="none" w:sz="0" w:space="0" w:color="auto"/>
        <w:bottom w:val="none" w:sz="0" w:space="0" w:color="auto"/>
        <w:right w:val="none" w:sz="0" w:space="0" w:color="auto"/>
      </w:divBdr>
    </w:div>
    <w:div w:id="885340190">
      <w:bodyDiv w:val="1"/>
      <w:marLeft w:val="0"/>
      <w:marRight w:val="0"/>
      <w:marTop w:val="0"/>
      <w:marBottom w:val="0"/>
      <w:divBdr>
        <w:top w:val="none" w:sz="0" w:space="0" w:color="auto"/>
        <w:left w:val="none" w:sz="0" w:space="0" w:color="auto"/>
        <w:bottom w:val="none" w:sz="0" w:space="0" w:color="auto"/>
        <w:right w:val="none" w:sz="0" w:space="0" w:color="auto"/>
      </w:divBdr>
    </w:div>
    <w:div w:id="890313810">
      <w:bodyDiv w:val="1"/>
      <w:marLeft w:val="0"/>
      <w:marRight w:val="0"/>
      <w:marTop w:val="0"/>
      <w:marBottom w:val="0"/>
      <w:divBdr>
        <w:top w:val="none" w:sz="0" w:space="0" w:color="auto"/>
        <w:left w:val="none" w:sz="0" w:space="0" w:color="auto"/>
        <w:bottom w:val="none" w:sz="0" w:space="0" w:color="auto"/>
        <w:right w:val="none" w:sz="0" w:space="0" w:color="auto"/>
      </w:divBdr>
    </w:div>
    <w:div w:id="898251842">
      <w:bodyDiv w:val="1"/>
      <w:marLeft w:val="0"/>
      <w:marRight w:val="0"/>
      <w:marTop w:val="0"/>
      <w:marBottom w:val="0"/>
      <w:divBdr>
        <w:top w:val="none" w:sz="0" w:space="0" w:color="auto"/>
        <w:left w:val="none" w:sz="0" w:space="0" w:color="auto"/>
        <w:bottom w:val="none" w:sz="0" w:space="0" w:color="auto"/>
        <w:right w:val="none" w:sz="0" w:space="0" w:color="auto"/>
      </w:divBdr>
    </w:div>
    <w:div w:id="901601385">
      <w:bodyDiv w:val="1"/>
      <w:marLeft w:val="0"/>
      <w:marRight w:val="0"/>
      <w:marTop w:val="0"/>
      <w:marBottom w:val="0"/>
      <w:divBdr>
        <w:top w:val="none" w:sz="0" w:space="0" w:color="auto"/>
        <w:left w:val="none" w:sz="0" w:space="0" w:color="auto"/>
        <w:bottom w:val="none" w:sz="0" w:space="0" w:color="auto"/>
        <w:right w:val="none" w:sz="0" w:space="0" w:color="auto"/>
      </w:divBdr>
    </w:div>
    <w:div w:id="903487283">
      <w:bodyDiv w:val="1"/>
      <w:marLeft w:val="0"/>
      <w:marRight w:val="0"/>
      <w:marTop w:val="0"/>
      <w:marBottom w:val="0"/>
      <w:divBdr>
        <w:top w:val="none" w:sz="0" w:space="0" w:color="auto"/>
        <w:left w:val="none" w:sz="0" w:space="0" w:color="auto"/>
        <w:bottom w:val="none" w:sz="0" w:space="0" w:color="auto"/>
        <w:right w:val="none" w:sz="0" w:space="0" w:color="auto"/>
      </w:divBdr>
    </w:div>
    <w:div w:id="908618219">
      <w:bodyDiv w:val="1"/>
      <w:marLeft w:val="0"/>
      <w:marRight w:val="0"/>
      <w:marTop w:val="0"/>
      <w:marBottom w:val="0"/>
      <w:divBdr>
        <w:top w:val="none" w:sz="0" w:space="0" w:color="auto"/>
        <w:left w:val="none" w:sz="0" w:space="0" w:color="auto"/>
        <w:bottom w:val="none" w:sz="0" w:space="0" w:color="auto"/>
        <w:right w:val="none" w:sz="0" w:space="0" w:color="auto"/>
      </w:divBdr>
    </w:div>
    <w:div w:id="922224601">
      <w:bodyDiv w:val="1"/>
      <w:marLeft w:val="0"/>
      <w:marRight w:val="0"/>
      <w:marTop w:val="0"/>
      <w:marBottom w:val="0"/>
      <w:divBdr>
        <w:top w:val="none" w:sz="0" w:space="0" w:color="auto"/>
        <w:left w:val="none" w:sz="0" w:space="0" w:color="auto"/>
        <w:bottom w:val="none" w:sz="0" w:space="0" w:color="auto"/>
        <w:right w:val="none" w:sz="0" w:space="0" w:color="auto"/>
      </w:divBdr>
    </w:div>
    <w:div w:id="935750434">
      <w:bodyDiv w:val="1"/>
      <w:marLeft w:val="0"/>
      <w:marRight w:val="0"/>
      <w:marTop w:val="0"/>
      <w:marBottom w:val="0"/>
      <w:divBdr>
        <w:top w:val="none" w:sz="0" w:space="0" w:color="auto"/>
        <w:left w:val="none" w:sz="0" w:space="0" w:color="auto"/>
        <w:bottom w:val="none" w:sz="0" w:space="0" w:color="auto"/>
        <w:right w:val="none" w:sz="0" w:space="0" w:color="auto"/>
      </w:divBdr>
    </w:div>
    <w:div w:id="988365707">
      <w:bodyDiv w:val="1"/>
      <w:marLeft w:val="0"/>
      <w:marRight w:val="0"/>
      <w:marTop w:val="0"/>
      <w:marBottom w:val="0"/>
      <w:divBdr>
        <w:top w:val="none" w:sz="0" w:space="0" w:color="auto"/>
        <w:left w:val="none" w:sz="0" w:space="0" w:color="auto"/>
        <w:bottom w:val="none" w:sz="0" w:space="0" w:color="auto"/>
        <w:right w:val="none" w:sz="0" w:space="0" w:color="auto"/>
      </w:divBdr>
    </w:div>
    <w:div w:id="1009990265">
      <w:bodyDiv w:val="1"/>
      <w:marLeft w:val="0"/>
      <w:marRight w:val="0"/>
      <w:marTop w:val="0"/>
      <w:marBottom w:val="0"/>
      <w:divBdr>
        <w:top w:val="none" w:sz="0" w:space="0" w:color="auto"/>
        <w:left w:val="none" w:sz="0" w:space="0" w:color="auto"/>
        <w:bottom w:val="none" w:sz="0" w:space="0" w:color="auto"/>
        <w:right w:val="none" w:sz="0" w:space="0" w:color="auto"/>
      </w:divBdr>
    </w:div>
    <w:div w:id="1015183833">
      <w:bodyDiv w:val="1"/>
      <w:marLeft w:val="0"/>
      <w:marRight w:val="0"/>
      <w:marTop w:val="0"/>
      <w:marBottom w:val="0"/>
      <w:divBdr>
        <w:top w:val="none" w:sz="0" w:space="0" w:color="auto"/>
        <w:left w:val="none" w:sz="0" w:space="0" w:color="auto"/>
        <w:bottom w:val="none" w:sz="0" w:space="0" w:color="auto"/>
        <w:right w:val="none" w:sz="0" w:space="0" w:color="auto"/>
      </w:divBdr>
    </w:div>
    <w:div w:id="1068579865">
      <w:bodyDiv w:val="1"/>
      <w:marLeft w:val="0"/>
      <w:marRight w:val="0"/>
      <w:marTop w:val="0"/>
      <w:marBottom w:val="0"/>
      <w:divBdr>
        <w:top w:val="none" w:sz="0" w:space="0" w:color="auto"/>
        <w:left w:val="none" w:sz="0" w:space="0" w:color="auto"/>
        <w:bottom w:val="none" w:sz="0" w:space="0" w:color="auto"/>
        <w:right w:val="none" w:sz="0" w:space="0" w:color="auto"/>
      </w:divBdr>
    </w:div>
    <w:div w:id="1078290225">
      <w:bodyDiv w:val="1"/>
      <w:marLeft w:val="0"/>
      <w:marRight w:val="0"/>
      <w:marTop w:val="0"/>
      <w:marBottom w:val="0"/>
      <w:divBdr>
        <w:top w:val="none" w:sz="0" w:space="0" w:color="auto"/>
        <w:left w:val="none" w:sz="0" w:space="0" w:color="auto"/>
        <w:bottom w:val="none" w:sz="0" w:space="0" w:color="auto"/>
        <w:right w:val="none" w:sz="0" w:space="0" w:color="auto"/>
      </w:divBdr>
    </w:div>
    <w:div w:id="1097138394">
      <w:bodyDiv w:val="1"/>
      <w:marLeft w:val="0"/>
      <w:marRight w:val="0"/>
      <w:marTop w:val="0"/>
      <w:marBottom w:val="0"/>
      <w:divBdr>
        <w:top w:val="none" w:sz="0" w:space="0" w:color="auto"/>
        <w:left w:val="none" w:sz="0" w:space="0" w:color="auto"/>
        <w:bottom w:val="none" w:sz="0" w:space="0" w:color="auto"/>
        <w:right w:val="none" w:sz="0" w:space="0" w:color="auto"/>
      </w:divBdr>
    </w:div>
    <w:div w:id="1113791456">
      <w:bodyDiv w:val="1"/>
      <w:marLeft w:val="0"/>
      <w:marRight w:val="0"/>
      <w:marTop w:val="0"/>
      <w:marBottom w:val="0"/>
      <w:divBdr>
        <w:top w:val="none" w:sz="0" w:space="0" w:color="auto"/>
        <w:left w:val="none" w:sz="0" w:space="0" w:color="auto"/>
        <w:bottom w:val="none" w:sz="0" w:space="0" w:color="auto"/>
        <w:right w:val="none" w:sz="0" w:space="0" w:color="auto"/>
      </w:divBdr>
    </w:div>
    <w:div w:id="1117991987">
      <w:bodyDiv w:val="1"/>
      <w:marLeft w:val="0"/>
      <w:marRight w:val="0"/>
      <w:marTop w:val="0"/>
      <w:marBottom w:val="0"/>
      <w:divBdr>
        <w:top w:val="none" w:sz="0" w:space="0" w:color="auto"/>
        <w:left w:val="none" w:sz="0" w:space="0" w:color="auto"/>
        <w:bottom w:val="none" w:sz="0" w:space="0" w:color="auto"/>
        <w:right w:val="none" w:sz="0" w:space="0" w:color="auto"/>
      </w:divBdr>
    </w:div>
    <w:div w:id="1121806979">
      <w:bodyDiv w:val="1"/>
      <w:marLeft w:val="0"/>
      <w:marRight w:val="0"/>
      <w:marTop w:val="0"/>
      <w:marBottom w:val="0"/>
      <w:divBdr>
        <w:top w:val="none" w:sz="0" w:space="0" w:color="auto"/>
        <w:left w:val="none" w:sz="0" w:space="0" w:color="auto"/>
        <w:bottom w:val="none" w:sz="0" w:space="0" w:color="auto"/>
        <w:right w:val="none" w:sz="0" w:space="0" w:color="auto"/>
      </w:divBdr>
    </w:div>
    <w:div w:id="1166019238">
      <w:bodyDiv w:val="1"/>
      <w:marLeft w:val="0"/>
      <w:marRight w:val="0"/>
      <w:marTop w:val="0"/>
      <w:marBottom w:val="0"/>
      <w:divBdr>
        <w:top w:val="none" w:sz="0" w:space="0" w:color="auto"/>
        <w:left w:val="none" w:sz="0" w:space="0" w:color="auto"/>
        <w:bottom w:val="none" w:sz="0" w:space="0" w:color="auto"/>
        <w:right w:val="none" w:sz="0" w:space="0" w:color="auto"/>
      </w:divBdr>
    </w:div>
    <w:div w:id="1206680760">
      <w:bodyDiv w:val="1"/>
      <w:marLeft w:val="0"/>
      <w:marRight w:val="0"/>
      <w:marTop w:val="0"/>
      <w:marBottom w:val="0"/>
      <w:divBdr>
        <w:top w:val="none" w:sz="0" w:space="0" w:color="auto"/>
        <w:left w:val="none" w:sz="0" w:space="0" w:color="auto"/>
        <w:bottom w:val="none" w:sz="0" w:space="0" w:color="auto"/>
        <w:right w:val="none" w:sz="0" w:space="0" w:color="auto"/>
      </w:divBdr>
    </w:div>
    <w:div w:id="1244292162">
      <w:bodyDiv w:val="1"/>
      <w:marLeft w:val="0"/>
      <w:marRight w:val="0"/>
      <w:marTop w:val="0"/>
      <w:marBottom w:val="0"/>
      <w:divBdr>
        <w:top w:val="none" w:sz="0" w:space="0" w:color="auto"/>
        <w:left w:val="none" w:sz="0" w:space="0" w:color="auto"/>
        <w:bottom w:val="none" w:sz="0" w:space="0" w:color="auto"/>
        <w:right w:val="none" w:sz="0" w:space="0" w:color="auto"/>
      </w:divBdr>
    </w:div>
    <w:div w:id="1266500523">
      <w:bodyDiv w:val="1"/>
      <w:marLeft w:val="0"/>
      <w:marRight w:val="0"/>
      <w:marTop w:val="0"/>
      <w:marBottom w:val="0"/>
      <w:divBdr>
        <w:top w:val="none" w:sz="0" w:space="0" w:color="auto"/>
        <w:left w:val="none" w:sz="0" w:space="0" w:color="auto"/>
        <w:bottom w:val="none" w:sz="0" w:space="0" w:color="auto"/>
        <w:right w:val="none" w:sz="0" w:space="0" w:color="auto"/>
      </w:divBdr>
    </w:div>
    <w:div w:id="1267928334">
      <w:bodyDiv w:val="1"/>
      <w:marLeft w:val="0"/>
      <w:marRight w:val="0"/>
      <w:marTop w:val="0"/>
      <w:marBottom w:val="0"/>
      <w:divBdr>
        <w:top w:val="none" w:sz="0" w:space="0" w:color="auto"/>
        <w:left w:val="none" w:sz="0" w:space="0" w:color="auto"/>
        <w:bottom w:val="none" w:sz="0" w:space="0" w:color="auto"/>
        <w:right w:val="none" w:sz="0" w:space="0" w:color="auto"/>
      </w:divBdr>
    </w:div>
    <w:div w:id="1289623653">
      <w:bodyDiv w:val="1"/>
      <w:marLeft w:val="0"/>
      <w:marRight w:val="0"/>
      <w:marTop w:val="0"/>
      <w:marBottom w:val="0"/>
      <w:divBdr>
        <w:top w:val="none" w:sz="0" w:space="0" w:color="auto"/>
        <w:left w:val="none" w:sz="0" w:space="0" w:color="auto"/>
        <w:bottom w:val="none" w:sz="0" w:space="0" w:color="auto"/>
        <w:right w:val="none" w:sz="0" w:space="0" w:color="auto"/>
      </w:divBdr>
    </w:div>
    <w:div w:id="1291742799">
      <w:bodyDiv w:val="1"/>
      <w:marLeft w:val="0"/>
      <w:marRight w:val="0"/>
      <w:marTop w:val="0"/>
      <w:marBottom w:val="0"/>
      <w:divBdr>
        <w:top w:val="none" w:sz="0" w:space="0" w:color="auto"/>
        <w:left w:val="none" w:sz="0" w:space="0" w:color="auto"/>
        <w:bottom w:val="none" w:sz="0" w:space="0" w:color="auto"/>
        <w:right w:val="none" w:sz="0" w:space="0" w:color="auto"/>
      </w:divBdr>
    </w:div>
    <w:div w:id="1292980357">
      <w:bodyDiv w:val="1"/>
      <w:marLeft w:val="0"/>
      <w:marRight w:val="0"/>
      <w:marTop w:val="0"/>
      <w:marBottom w:val="0"/>
      <w:divBdr>
        <w:top w:val="none" w:sz="0" w:space="0" w:color="auto"/>
        <w:left w:val="none" w:sz="0" w:space="0" w:color="auto"/>
        <w:bottom w:val="none" w:sz="0" w:space="0" w:color="auto"/>
        <w:right w:val="none" w:sz="0" w:space="0" w:color="auto"/>
      </w:divBdr>
    </w:div>
    <w:div w:id="1303922276">
      <w:bodyDiv w:val="1"/>
      <w:marLeft w:val="0"/>
      <w:marRight w:val="0"/>
      <w:marTop w:val="0"/>
      <w:marBottom w:val="0"/>
      <w:divBdr>
        <w:top w:val="none" w:sz="0" w:space="0" w:color="auto"/>
        <w:left w:val="none" w:sz="0" w:space="0" w:color="auto"/>
        <w:bottom w:val="none" w:sz="0" w:space="0" w:color="auto"/>
        <w:right w:val="none" w:sz="0" w:space="0" w:color="auto"/>
      </w:divBdr>
    </w:div>
    <w:div w:id="1304778044">
      <w:bodyDiv w:val="1"/>
      <w:marLeft w:val="0"/>
      <w:marRight w:val="0"/>
      <w:marTop w:val="0"/>
      <w:marBottom w:val="0"/>
      <w:divBdr>
        <w:top w:val="none" w:sz="0" w:space="0" w:color="auto"/>
        <w:left w:val="none" w:sz="0" w:space="0" w:color="auto"/>
        <w:bottom w:val="none" w:sz="0" w:space="0" w:color="auto"/>
        <w:right w:val="none" w:sz="0" w:space="0" w:color="auto"/>
      </w:divBdr>
    </w:div>
    <w:div w:id="1309096543">
      <w:bodyDiv w:val="1"/>
      <w:marLeft w:val="0"/>
      <w:marRight w:val="0"/>
      <w:marTop w:val="0"/>
      <w:marBottom w:val="0"/>
      <w:divBdr>
        <w:top w:val="none" w:sz="0" w:space="0" w:color="auto"/>
        <w:left w:val="none" w:sz="0" w:space="0" w:color="auto"/>
        <w:bottom w:val="none" w:sz="0" w:space="0" w:color="auto"/>
        <w:right w:val="none" w:sz="0" w:space="0" w:color="auto"/>
      </w:divBdr>
    </w:div>
    <w:div w:id="1318072013">
      <w:bodyDiv w:val="1"/>
      <w:marLeft w:val="0"/>
      <w:marRight w:val="0"/>
      <w:marTop w:val="0"/>
      <w:marBottom w:val="0"/>
      <w:divBdr>
        <w:top w:val="none" w:sz="0" w:space="0" w:color="auto"/>
        <w:left w:val="none" w:sz="0" w:space="0" w:color="auto"/>
        <w:bottom w:val="none" w:sz="0" w:space="0" w:color="auto"/>
        <w:right w:val="none" w:sz="0" w:space="0" w:color="auto"/>
      </w:divBdr>
    </w:div>
    <w:div w:id="1384795813">
      <w:bodyDiv w:val="1"/>
      <w:marLeft w:val="0"/>
      <w:marRight w:val="0"/>
      <w:marTop w:val="0"/>
      <w:marBottom w:val="0"/>
      <w:divBdr>
        <w:top w:val="none" w:sz="0" w:space="0" w:color="auto"/>
        <w:left w:val="none" w:sz="0" w:space="0" w:color="auto"/>
        <w:bottom w:val="none" w:sz="0" w:space="0" w:color="auto"/>
        <w:right w:val="none" w:sz="0" w:space="0" w:color="auto"/>
      </w:divBdr>
    </w:div>
    <w:div w:id="1392657256">
      <w:bodyDiv w:val="1"/>
      <w:marLeft w:val="0"/>
      <w:marRight w:val="0"/>
      <w:marTop w:val="0"/>
      <w:marBottom w:val="0"/>
      <w:divBdr>
        <w:top w:val="none" w:sz="0" w:space="0" w:color="auto"/>
        <w:left w:val="none" w:sz="0" w:space="0" w:color="auto"/>
        <w:bottom w:val="none" w:sz="0" w:space="0" w:color="auto"/>
        <w:right w:val="none" w:sz="0" w:space="0" w:color="auto"/>
      </w:divBdr>
    </w:div>
    <w:div w:id="1400590304">
      <w:bodyDiv w:val="1"/>
      <w:marLeft w:val="0"/>
      <w:marRight w:val="0"/>
      <w:marTop w:val="0"/>
      <w:marBottom w:val="0"/>
      <w:divBdr>
        <w:top w:val="none" w:sz="0" w:space="0" w:color="auto"/>
        <w:left w:val="none" w:sz="0" w:space="0" w:color="auto"/>
        <w:bottom w:val="none" w:sz="0" w:space="0" w:color="auto"/>
        <w:right w:val="none" w:sz="0" w:space="0" w:color="auto"/>
      </w:divBdr>
    </w:div>
    <w:div w:id="1424297173">
      <w:bodyDiv w:val="1"/>
      <w:marLeft w:val="0"/>
      <w:marRight w:val="0"/>
      <w:marTop w:val="0"/>
      <w:marBottom w:val="0"/>
      <w:divBdr>
        <w:top w:val="none" w:sz="0" w:space="0" w:color="auto"/>
        <w:left w:val="none" w:sz="0" w:space="0" w:color="auto"/>
        <w:bottom w:val="none" w:sz="0" w:space="0" w:color="auto"/>
        <w:right w:val="none" w:sz="0" w:space="0" w:color="auto"/>
      </w:divBdr>
    </w:div>
    <w:div w:id="1458642581">
      <w:bodyDiv w:val="1"/>
      <w:marLeft w:val="0"/>
      <w:marRight w:val="0"/>
      <w:marTop w:val="0"/>
      <w:marBottom w:val="0"/>
      <w:divBdr>
        <w:top w:val="none" w:sz="0" w:space="0" w:color="auto"/>
        <w:left w:val="none" w:sz="0" w:space="0" w:color="auto"/>
        <w:bottom w:val="none" w:sz="0" w:space="0" w:color="auto"/>
        <w:right w:val="none" w:sz="0" w:space="0" w:color="auto"/>
      </w:divBdr>
    </w:div>
    <w:div w:id="1463157901">
      <w:bodyDiv w:val="1"/>
      <w:marLeft w:val="0"/>
      <w:marRight w:val="0"/>
      <w:marTop w:val="0"/>
      <w:marBottom w:val="0"/>
      <w:divBdr>
        <w:top w:val="none" w:sz="0" w:space="0" w:color="auto"/>
        <w:left w:val="none" w:sz="0" w:space="0" w:color="auto"/>
        <w:bottom w:val="none" w:sz="0" w:space="0" w:color="auto"/>
        <w:right w:val="none" w:sz="0" w:space="0" w:color="auto"/>
      </w:divBdr>
    </w:div>
    <w:div w:id="1492328349">
      <w:bodyDiv w:val="1"/>
      <w:marLeft w:val="0"/>
      <w:marRight w:val="0"/>
      <w:marTop w:val="0"/>
      <w:marBottom w:val="0"/>
      <w:divBdr>
        <w:top w:val="none" w:sz="0" w:space="0" w:color="auto"/>
        <w:left w:val="none" w:sz="0" w:space="0" w:color="auto"/>
        <w:bottom w:val="none" w:sz="0" w:space="0" w:color="auto"/>
        <w:right w:val="none" w:sz="0" w:space="0" w:color="auto"/>
      </w:divBdr>
    </w:div>
    <w:div w:id="1526822593">
      <w:bodyDiv w:val="1"/>
      <w:marLeft w:val="0"/>
      <w:marRight w:val="0"/>
      <w:marTop w:val="0"/>
      <w:marBottom w:val="0"/>
      <w:divBdr>
        <w:top w:val="none" w:sz="0" w:space="0" w:color="auto"/>
        <w:left w:val="none" w:sz="0" w:space="0" w:color="auto"/>
        <w:bottom w:val="none" w:sz="0" w:space="0" w:color="auto"/>
        <w:right w:val="none" w:sz="0" w:space="0" w:color="auto"/>
      </w:divBdr>
    </w:div>
    <w:div w:id="1527596044">
      <w:bodyDiv w:val="1"/>
      <w:marLeft w:val="0"/>
      <w:marRight w:val="0"/>
      <w:marTop w:val="0"/>
      <w:marBottom w:val="0"/>
      <w:divBdr>
        <w:top w:val="none" w:sz="0" w:space="0" w:color="auto"/>
        <w:left w:val="none" w:sz="0" w:space="0" w:color="auto"/>
        <w:bottom w:val="none" w:sz="0" w:space="0" w:color="auto"/>
        <w:right w:val="none" w:sz="0" w:space="0" w:color="auto"/>
      </w:divBdr>
    </w:div>
    <w:div w:id="1550071945">
      <w:bodyDiv w:val="1"/>
      <w:marLeft w:val="0"/>
      <w:marRight w:val="0"/>
      <w:marTop w:val="0"/>
      <w:marBottom w:val="0"/>
      <w:divBdr>
        <w:top w:val="none" w:sz="0" w:space="0" w:color="auto"/>
        <w:left w:val="none" w:sz="0" w:space="0" w:color="auto"/>
        <w:bottom w:val="none" w:sz="0" w:space="0" w:color="auto"/>
        <w:right w:val="none" w:sz="0" w:space="0" w:color="auto"/>
      </w:divBdr>
    </w:div>
    <w:div w:id="1616520991">
      <w:bodyDiv w:val="1"/>
      <w:marLeft w:val="0"/>
      <w:marRight w:val="0"/>
      <w:marTop w:val="0"/>
      <w:marBottom w:val="0"/>
      <w:divBdr>
        <w:top w:val="none" w:sz="0" w:space="0" w:color="auto"/>
        <w:left w:val="none" w:sz="0" w:space="0" w:color="auto"/>
        <w:bottom w:val="none" w:sz="0" w:space="0" w:color="auto"/>
        <w:right w:val="none" w:sz="0" w:space="0" w:color="auto"/>
      </w:divBdr>
    </w:div>
    <w:div w:id="1670407041">
      <w:bodyDiv w:val="1"/>
      <w:marLeft w:val="0"/>
      <w:marRight w:val="0"/>
      <w:marTop w:val="0"/>
      <w:marBottom w:val="0"/>
      <w:divBdr>
        <w:top w:val="none" w:sz="0" w:space="0" w:color="auto"/>
        <w:left w:val="none" w:sz="0" w:space="0" w:color="auto"/>
        <w:bottom w:val="none" w:sz="0" w:space="0" w:color="auto"/>
        <w:right w:val="none" w:sz="0" w:space="0" w:color="auto"/>
      </w:divBdr>
    </w:div>
    <w:div w:id="1704595643">
      <w:bodyDiv w:val="1"/>
      <w:marLeft w:val="0"/>
      <w:marRight w:val="0"/>
      <w:marTop w:val="0"/>
      <w:marBottom w:val="0"/>
      <w:divBdr>
        <w:top w:val="none" w:sz="0" w:space="0" w:color="auto"/>
        <w:left w:val="none" w:sz="0" w:space="0" w:color="auto"/>
        <w:bottom w:val="none" w:sz="0" w:space="0" w:color="auto"/>
        <w:right w:val="none" w:sz="0" w:space="0" w:color="auto"/>
      </w:divBdr>
    </w:div>
    <w:div w:id="1779639969">
      <w:bodyDiv w:val="1"/>
      <w:marLeft w:val="0"/>
      <w:marRight w:val="0"/>
      <w:marTop w:val="0"/>
      <w:marBottom w:val="0"/>
      <w:divBdr>
        <w:top w:val="none" w:sz="0" w:space="0" w:color="auto"/>
        <w:left w:val="none" w:sz="0" w:space="0" w:color="auto"/>
        <w:bottom w:val="none" w:sz="0" w:space="0" w:color="auto"/>
        <w:right w:val="none" w:sz="0" w:space="0" w:color="auto"/>
      </w:divBdr>
    </w:div>
    <w:div w:id="1789159515">
      <w:bodyDiv w:val="1"/>
      <w:marLeft w:val="0"/>
      <w:marRight w:val="0"/>
      <w:marTop w:val="0"/>
      <w:marBottom w:val="0"/>
      <w:divBdr>
        <w:top w:val="none" w:sz="0" w:space="0" w:color="auto"/>
        <w:left w:val="none" w:sz="0" w:space="0" w:color="auto"/>
        <w:bottom w:val="none" w:sz="0" w:space="0" w:color="auto"/>
        <w:right w:val="none" w:sz="0" w:space="0" w:color="auto"/>
      </w:divBdr>
    </w:div>
    <w:div w:id="1811898776">
      <w:bodyDiv w:val="1"/>
      <w:marLeft w:val="0"/>
      <w:marRight w:val="0"/>
      <w:marTop w:val="0"/>
      <w:marBottom w:val="0"/>
      <w:divBdr>
        <w:top w:val="none" w:sz="0" w:space="0" w:color="auto"/>
        <w:left w:val="none" w:sz="0" w:space="0" w:color="auto"/>
        <w:bottom w:val="none" w:sz="0" w:space="0" w:color="auto"/>
        <w:right w:val="none" w:sz="0" w:space="0" w:color="auto"/>
      </w:divBdr>
    </w:div>
    <w:div w:id="1818494767">
      <w:bodyDiv w:val="1"/>
      <w:marLeft w:val="0"/>
      <w:marRight w:val="0"/>
      <w:marTop w:val="0"/>
      <w:marBottom w:val="0"/>
      <w:divBdr>
        <w:top w:val="none" w:sz="0" w:space="0" w:color="auto"/>
        <w:left w:val="none" w:sz="0" w:space="0" w:color="auto"/>
        <w:bottom w:val="none" w:sz="0" w:space="0" w:color="auto"/>
        <w:right w:val="none" w:sz="0" w:space="0" w:color="auto"/>
      </w:divBdr>
    </w:div>
    <w:div w:id="1821457692">
      <w:bodyDiv w:val="1"/>
      <w:marLeft w:val="0"/>
      <w:marRight w:val="0"/>
      <w:marTop w:val="0"/>
      <w:marBottom w:val="0"/>
      <w:divBdr>
        <w:top w:val="none" w:sz="0" w:space="0" w:color="auto"/>
        <w:left w:val="none" w:sz="0" w:space="0" w:color="auto"/>
        <w:bottom w:val="none" w:sz="0" w:space="0" w:color="auto"/>
        <w:right w:val="none" w:sz="0" w:space="0" w:color="auto"/>
      </w:divBdr>
    </w:div>
    <w:div w:id="1850101022">
      <w:bodyDiv w:val="1"/>
      <w:marLeft w:val="0"/>
      <w:marRight w:val="0"/>
      <w:marTop w:val="0"/>
      <w:marBottom w:val="0"/>
      <w:divBdr>
        <w:top w:val="none" w:sz="0" w:space="0" w:color="auto"/>
        <w:left w:val="none" w:sz="0" w:space="0" w:color="auto"/>
        <w:bottom w:val="none" w:sz="0" w:space="0" w:color="auto"/>
        <w:right w:val="none" w:sz="0" w:space="0" w:color="auto"/>
      </w:divBdr>
    </w:div>
    <w:div w:id="1930043282">
      <w:bodyDiv w:val="1"/>
      <w:marLeft w:val="0"/>
      <w:marRight w:val="0"/>
      <w:marTop w:val="0"/>
      <w:marBottom w:val="0"/>
      <w:divBdr>
        <w:top w:val="none" w:sz="0" w:space="0" w:color="auto"/>
        <w:left w:val="none" w:sz="0" w:space="0" w:color="auto"/>
        <w:bottom w:val="none" w:sz="0" w:space="0" w:color="auto"/>
        <w:right w:val="none" w:sz="0" w:space="0" w:color="auto"/>
      </w:divBdr>
    </w:div>
    <w:div w:id="1967808244">
      <w:bodyDiv w:val="1"/>
      <w:marLeft w:val="0"/>
      <w:marRight w:val="0"/>
      <w:marTop w:val="0"/>
      <w:marBottom w:val="0"/>
      <w:divBdr>
        <w:top w:val="none" w:sz="0" w:space="0" w:color="auto"/>
        <w:left w:val="none" w:sz="0" w:space="0" w:color="auto"/>
        <w:bottom w:val="none" w:sz="0" w:space="0" w:color="auto"/>
        <w:right w:val="none" w:sz="0" w:space="0" w:color="auto"/>
      </w:divBdr>
    </w:div>
    <w:div w:id="1972319425">
      <w:bodyDiv w:val="1"/>
      <w:marLeft w:val="0"/>
      <w:marRight w:val="0"/>
      <w:marTop w:val="0"/>
      <w:marBottom w:val="0"/>
      <w:divBdr>
        <w:top w:val="none" w:sz="0" w:space="0" w:color="auto"/>
        <w:left w:val="none" w:sz="0" w:space="0" w:color="auto"/>
        <w:bottom w:val="none" w:sz="0" w:space="0" w:color="auto"/>
        <w:right w:val="none" w:sz="0" w:space="0" w:color="auto"/>
      </w:divBdr>
    </w:div>
    <w:div w:id="1972468255">
      <w:bodyDiv w:val="1"/>
      <w:marLeft w:val="0"/>
      <w:marRight w:val="0"/>
      <w:marTop w:val="0"/>
      <w:marBottom w:val="0"/>
      <w:divBdr>
        <w:top w:val="none" w:sz="0" w:space="0" w:color="auto"/>
        <w:left w:val="none" w:sz="0" w:space="0" w:color="auto"/>
        <w:bottom w:val="none" w:sz="0" w:space="0" w:color="auto"/>
        <w:right w:val="none" w:sz="0" w:space="0" w:color="auto"/>
      </w:divBdr>
    </w:div>
    <w:div w:id="1985549639">
      <w:bodyDiv w:val="1"/>
      <w:marLeft w:val="0"/>
      <w:marRight w:val="0"/>
      <w:marTop w:val="0"/>
      <w:marBottom w:val="0"/>
      <w:divBdr>
        <w:top w:val="none" w:sz="0" w:space="0" w:color="auto"/>
        <w:left w:val="none" w:sz="0" w:space="0" w:color="auto"/>
        <w:bottom w:val="none" w:sz="0" w:space="0" w:color="auto"/>
        <w:right w:val="none" w:sz="0" w:space="0" w:color="auto"/>
      </w:divBdr>
    </w:div>
    <w:div w:id="1993025418">
      <w:bodyDiv w:val="1"/>
      <w:marLeft w:val="0"/>
      <w:marRight w:val="0"/>
      <w:marTop w:val="0"/>
      <w:marBottom w:val="0"/>
      <w:divBdr>
        <w:top w:val="none" w:sz="0" w:space="0" w:color="auto"/>
        <w:left w:val="none" w:sz="0" w:space="0" w:color="auto"/>
        <w:bottom w:val="none" w:sz="0" w:space="0" w:color="auto"/>
        <w:right w:val="none" w:sz="0" w:space="0" w:color="auto"/>
      </w:divBdr>
    </w:div>
    <w:div w:id="2005354889">
      <w:bodyDiv w:val="1"/>
      <w:marLeft w:val="0"/>
      <w:marRight w:val="0"/>
      <w:marTop w:val="0"/>
      <w:marBottom w:val="0"/>
      <w:divBdr>
        <w:top w:val="none" w:sz="0" w:space="0" w:color="auto"/>
        <w:left w:val="none" w:sz="0" w:space="0" w:color="auto"/>
        <w:bottom w:val="none" w:sz="0" w:space="0" w:color="auto"/>
        <w:right w:val="none" w:sz="0" w:space="0" w:color="auto"/>
      </w:divBdr>
    </w:div>
    <w:div w:id="2016221283">
      <w:bodyDiv w:val="1"/>
      <w:marLeft w:val="0"/>
      <w:marRight w:val="0"/>
      <w:marTop w:val="0"/>
      <w:marBottom w:val="0"/>
      <w:divBdr>
        <w:top w:val="none" w:sz="0" w:space="0" w:color="auto"/>
        <w:left w:val="none" w:sz="0" w:space="0" w:color="auto"/>
        <w:bottom w:val="none" w:sz="0" w:space="0" w:color="auto"/>
        <w:right w:val="none" w:sz="0" w:space="0" w:color="auto"/>
      </w:divBdr>
    </w:div>
    <w:div w:id="2038502464">
      <w:bodyDiv w:val="1"/>
      <w:marLeft w:val="0"/>
      <w:marRight w:val="0"/>
      <w:marTop w:val="0"/>
      <w:marBottom w:val="0"/>
      <w:divBdr>
        <w:top w:val="none" w:sz="0" w:space="0" w:color="auto"/>
        <w:left w:val="none" w:sz="0" w:space="0" w:color="auto"/>
        <w:bottom w:val="none" w:sz="0" w:space="0" w:color="auto"/>
        <w:right w:val="none" w:sz="0" w:space="0" w:color="auto"/>
      </w:divBdr>
    </w:div>
    <w:div w:id="2043434132">
      <w:bodyDiv w:val="1"/>
      <w:marLeft w:val="0"/>
      <w:marRight w:val="0"/>
      <w:marTop w:val="0"/>
      <w:marBottom w:val="0"/>
      <w:divBdr>
        <w:top w:val="none" w:sz="0" w:space="0" w:color="auto"/>
        <w:left w:val="none" w:sz="0" w:space="0" w:color="auto"/>
        <w:bottom w:val="none" w:sz="0" w:space="0" w:color="auto"/>
        <w:right w:val="none" w:sz="0" w:space="0" w:color="auto"/>
      </w:divBdr>
    </w:div>
    <w:div w:id="2056812904">
      <w:bodyDiv w:val="1"/>
      <w:marLeft w:val="0"/>
      <w:marRight w:val="0"/>
      <w:marTop w:val="0"/>
      <w:marBottom w:val="0"/>
      <w:divBdr>
        <w:top w:val="none" w:sz="0" w:space="0" w:color="auto"/>
        <w:left w:val="none" w:sz="0" w:space="0" w:color="auto"/>
        <w:bottom w:val="none" w:sz="0" w:space="0" w:color="auto"/>
        <w:right w:val="none" w:sz="0" w:space="0" w:color="auto"/>
      </w:divBdr>
    </w:div>
    <w:div w:id="2084595562">
      <w:bodyDiv w:val="1"/>
      <w:marLeft w:val="0"/>
      <w:marRight w:val="0"/>
      <w:marTop w:val="0"/>
      <w:marBottom w:val="0"/>
      <w:divBdr>
        <w:top w:val="none" w:sz="0" w:space="0" w:color="auto"/>
        <w:left w:val="none" w:sz="0" w:space="0" w:color="auto"/>
        <w:bottom w:val="none" w:sz="0" w:space="0" w:color="auto"/>
        <w:right w:val="none" w:sz="0" w:space="0" w:color="auto"/>
      </w:divBdr>
    </w:div>
    <w:div w:id="2104648307">
      <w:bodyDiv w:val="1"/>
      <w:marLeft w:val="0"/>
      <w:marRight w:val="0"/>
      <w:marTop w:val="0"/>
      <w:marBottom w:val="0"/>
      <w:divBdr>
        <w:top w:val="none" w:sz="0" w:space="0" w:color="auto"/>
        <w:left w:val="none" w:sz="0" w:space="0" w:color="auto"/>
        <w:bottom w:val="none" w:sz="0" w:space="0" w:color="auto"/>
        <w:right w:val="none" w:sz="0" w:space="0" w:color="auto"/>
      </w:divBdr>
    </w:div>
    <w:div w:id="2106001849">
      <w:bodyDiv w:val="1"/>
      <w:marLeft w:val="0"/>
      <w:marRight w:val="0"/>
      <w:marTop w:val="0"/>
      <w:marBottom w:val="0"/>
      <w:divBdr>
        <w:top w:val="none" w:sz="0" w:space="0" w:color="auto"/>
        <w:left w:val="none" w:sz="0" w:space="0" w:color="auto"/>
        <w:bottom w:val="none" w:sz="0" w:space="0" w:color="auto"/>
        <w:right w:val="none" w:sz="0" w:space="0" w:color="auto"/>
      </w:divBdr>
    </w:div>
    <w:div w:id="214068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png"/><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D4F42EE53AE64181207F0D4D2DE3C2" ma:contentTypeVersion="15" ma:contentTypeDescription="Create a new document." ma:contentTypeScope="" ma:versionID="4296e738af687ef6f2b5ba55315b7081">
  <xsd:schema xmlns:xsd="http://www.w3.org/2001/XMLSchema" xmlns:xs="http://www.w3.org/2001/XMLSchema" xmlns:p="http://schemas.microsoft.com/office/2006/metadata/properties" xmlns:ns2="214c8367-bf84-489e-8669-45b86132b448" xmlns:ns3="7b3df589-8bed-4ba4-a2de-b868e70ff508" targetNamespace="http://schemas.microsoft.com/office/2006/metadata/properties" ma:root="true" ma:fieldsID="4a2bdc1f07eaa2f71e2417630934970e" ns2:_="" ns3:_="">
    <xsd:import namespace="214c8367-bf84-489e-8669-45b86132b448"/>
    <xsd:import namespace="7b3df589-8bed-4ba4-a2de-b868e70ff5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c8367-bf84-489e-8669-45b86132b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dd4bc3-6ae8-4f90-a7aa-f02eda266d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df589-8bed-4ba4-a2de-b868e70ff5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0f1098-d0bb-4bf2-80ae-9cffb02d7ff4}" ma:internalName="TaxCatchAll" ma:showField="CatchAllData" ma:web="7b3df589-8bed-4ba4-a2de-b868e70ff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3df589-8bed-4ba4-a2de-b868e70ff508" xsi:nil="true"/>
    <lcf76f155ced4ddcb4097134ff3c332f xmlns="214c8367-bf84-489e-8669-45b86132b4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79E84-B857-4D5D-BECE-DDF1AE558471}">
  <ds:schemaRefs>
    <ds:schemaRef ds:uri="http://schemas.microsoft.com/sharepoint/v3/contenttype/forms"/>
  </ds:schemaRefs>
</ds:datastoreItem>
</file>

<file path=customXml/itemProps2.xml><?xml version="1.0" encoding="utf-8"?>
<ds:datastoreItem xmlns:ds="http://schemas.openxmlformats.org/officeDocument/2006/customXml" ds:itemID="{A3EF2C37-D28A-402C-9265-78BBE32CE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c8367-bf84-489e-8669-45b86132b448"/>
    <ds:schemaRef ds:uri="7b3df589-8bed-4ba4-a2de-b868e70ff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334F9-06C0-416F-B2DE-2E775BA0CCC4}">
  <ds:schemaRefs>
    <ds:schemaRef ds:uri="http://schemas.microsoft.com/office/2006/metadata/properties"/>
    <ds:schemaRef ds:uri="http://schemas.microsoft.com/office/infopath/2007/PartnerControls"/>
    <ds:schemaRef ds:uri="7b3df589-8bed-4ba4-a2de-b868e70ff508"/>
    <ds:schemaRef ds:uri="214c8367-bf84-489e-8669-45b86132b4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3572</Words>
  <Characters>20362</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Coulson</dc:creator>
  <cp:keywords/>
  <dc:description/>
  <cp:lastModifiedBy>Nadine Shambrook</cp:lastModifiedBy>
  <cp:revision>2</cp:revision>
  <dcterms:created xsi:type="dcterms:W3CDTF">2023-01-18T10:24:00Z</dcterms:created>
  <dcterms:modified xsi:type="dcterms:W3CDTF">2023-01-18T10:24:00Z</dcterms:modified>
</cp:coreProperties>
</file>