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E3" w:rsidRPr="00AD2866" w:rsidRDefault="00152DE3" w:rsidP="00AD2866">
      <w:pPr>
        <w:jc w:val="center"/>
        <w:rPr>
          <w:rFonts w:ascii="Century Gothic" w:hAnsi="Century Gothic"/>
          <w:sz w:val="48"/>
        </w:rPr>
      </w:pPr>
      <w:bookmarkStart w:id="0" w:name="_GoBack"/>
      <w:bookmarkEnd w:id="0"/>
      <w:r w:rsidRPr="00AD2866">
        <w:rPr>
          <w:rFonts w:ascii="Century Gothic" w:hAnsi="Century Gothic"/>
          <w:sz w:val="48"/>
        </w:rPr>
        <w:t>Faculty of Education and Humanities</w:t>
      </w:r>
      <w:r w:rsidR="00AD2866">
        <w:rPr>
          <w:rFonts w:ascii="Century Gothic" w:hAnsi="Century Gothic"/>
          <w:sz w:val="48"/>
        </w:rPr>
        <w:br/>
      </w:r>
    </w:p>
    <w:p w:rsidR="00152DE3" w:rsidRPr="00AD2866" w:rsidRDefault="00152DE3" w:rsidP="00AD2866">
      <w:pPr>
        <w:jc w:val="center"/>
        <w:rPr>
          <w:rFonts w:ascii="Century Gothic" w:hAnsi="Century Gothic"/>
          <w:b/>
          <w:sz w:val="52"/>
        </w:rPr>
      </w:pPr>
      <w:proofErr w:type="gramStart"/>
      <w:r w:rsidRPr="00AD2866">
        <w:rPr>
          <w:rFonts w:ascii="Century Gothic" w:hAnsi="Century Gothic"/>
          <w:b/>
          <w:sz w:val="52"/>
        </w:rPr>
        <w:t>BA(</w:t>
      </w:r>
      <w:proofErr w:type="gramEnd"/>
      <w:r w:rsidRPr="00AD2866">
        <w:rPr>
          <w:rFonts w:ascii="Century Gothic" w:hAnsi="Century Gothic"/>
          <w:b/>
          <w:sz w:val="52"/>
        </w:rPr>
        <w:t>Hons)</w:t>
      </w:r>
      <w:r w:rsidR="00AD2866" w:rsidRPr="00AD2866">
        <w:rPr>
          <w:rFonts w:ascii="Century Gothic" w:hAnsi="Century Gothic"/>
          <w:b/>
          <w:sz w:val="52"/>
        </w:rPr>
        <w:t xml:space="preserve"> Learning and Teaching (Top-up)</w:t>
      </w:r>
    </w:p>
    <w:p w:rsidR="00AD2866" w:rsidRPr="00AD2866" w:rsidRDefault="00152DE3" w:rsidP="00AD2866">
      <w:pPr>
        <w:jc w:val="center"/>
        <w:rPr>
          <w:rFonts w:ascii="Century Gothic" w:hAnsi="Century Gothic"/>
          <w:sz w:val="48"/>
        </w:rPr>
      </w:pPr>
      <w:r w:rsidRPr="00AD2866">
        <w:rPr>
          <w:rFonts w:ascii="Century Gothic" w:hAnsi="Century Gothic"/>
          <w:sz w:val="48"/>
        </w:rPr>
        <w:t xml:space="preserve">Welcome </w:t>
      </w:r>
      <w:proofErr w:type="gramStart"/>
      <w:r w:rsidRPr="00AD2866">
        <w:rPr>
          <w:rFonts w:ascii="Century Gothic" w:hAnsi="Century Gothic"/>
          <w:sz w:val="48"/>
        </w:rPr>
        <w:t>booklet</w:t>
      </w:r>
      <w:r w:rsidR="00AD2866" w:rsidRPr="00AD2866">
        <w:rPr>
          <w:rFonts w:ascii="Century Gothic" w:hAnsi="Century Gothic"/>
          <w:sz w:val="48"/>
        </w:rPr>
        <w:t xml:space="preserve">  2017</w:t>
      </w:r>
      <w:proofErr w:type="gramEnd"/>
      <w:r w:rsidR="00AD2866" w:rsidRPr="00AD2866">
        <w:rPr>
          <w:rFonts w:ascii="Century Gothic" w:hAnsi="Century Gothic"/>
          <w:sz w:val="48"/>
        </w:rPr>
        <w:t>-18</w:t>
      </w:r>
    </w:p>
    <w:p w:rsidR="00152DE3" w:rsidRPr="00AD2866" w:rsidRDefault="00152DE3" w:rsidP="00AD2866">
      <w:pPr>
        <w:jc w:val="center"/>
        <w:rPr>
          <w:rFonts w:ascii="Century Gothic" w:hAnsi="Century Gothic"/>
          <w:sz w:val="44"/>
        </w:rPr>
      </w:pPr>
    </w:p>
    <w:p w:rsidR="00152DE3" w:rsidRPr="00AD2866" w:rsidRDefault="00152DE3" w:rsidP="00AD2866">
      <w:pPr>
        <w:jc w:val="center"/>
        <w:rPr>
          <w:rFonts w:ascii="Century Gothic" w:hAnsi="Century Gothic"/>
        </w:rPr>
      </w:pPr>
      <w:r w:rsidRPr="00AD2866">
        <w:rPr>
          <w:rFonts w:ascii="Century Gothic" w:hAnsi="Century Gothic"/>
          <w:noProof/>
          <w:lang w:eastAsia="en-GB"/>
        </w:rPr>
        <w:drawing>
          <wp:inline distT="0" distB="0" distL="0" distR="0" wp14:anchorId="338E9B87" wp14:editId="00F16875">
            <wp:extent cx="32956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1752600"/>
                    </a:xfrm>
                    <a:prstGeom prst="rect">
                      <a:avLst/>
                    </a:prstGeom>
                    <a:noFill/>
                    <a:ln>
                      <a:noFill/>
                    </a:ln>
                  </pic:spPr>
                </pic:pic>
              </a:graphicData>
            </a:graphic>
          </wp:inline>
        </w:drawing>
      </w:r>
    </w:p>
    <w:p w:rsidR="00152DE3" w:rsidRPr="00AD2866" w:rsidRDefault="00152DE3">
      <w:pPr>
        <w:rPr>
          <w:rFonts w:ascii="Century Gothic" w:hAnsi="Century Gothic"/>
        </w:rPr>
      </w:pPr>
    </w:p>
    <w:p w:rsidR="00AD2866" w:rsidRDefault="00152DE3" w:rsidP="00152DE3">
      <w:pPr>
        <w:pStyle w:val="Default"/>
        <w:rPr>
          <w:rFonts w:ascii="Century Gothic" w:hAnsi="Century Gothic"/>
          <w:sz w:val="22"/>
          <w:szCs w:val="22"/>
        </w:rPr>
      </w:pPr>
      <w:r w:rsidRPr="00AD2866">
        <w:rPr>
          <w:rFonts w:ascii="Century Gothic" w:hAnsi="Century Gothic"/>
          <w:sz w:val="22"/>
          <w:szCs w:val="22"/>
        </w:rPr>
        <w:t xml:space="preserve">A warm welcome to </w:t>
      </w:r>
      <w:r w:rsidR="00AD2866">
        <w:rPr>
          <w:rFonts w:ascii="Century Gothic" w:hAnsi="Century Gothic"/>
          <w:sz w:val="22"/>
          <w:szCs w:val="22"/>
        </w:rPr>
        <w:t>the BA (Hons) in Learning and Teaching (BALT)</w:t>
      </w:r>
      <w:r w:rsidRPr="00AD2866">
        <w:rPr>
          <w:rFonts w:ascii="Century Gothic" w:hAnsi="Century Gothic"/>
          <w:sz w:val="22"/>
          <w:szCs w:val="22"/>
        </w:rPr>
        <w:t xml:space="preserve">. </w:t>
      </w:r>
      <w:r w:rsidR="00AD2866">
        <w:rPr>
          <w:rFonts w:ascii="Century Gothic" w:hAnsi="Century Gothic"/>
          <w:sz w:val="22"/>
          <w:szCs w:val="22"/>
        </w:rPr>
        <w:t>Congratulations on achieving your Foundation Degree, or equivalent qualification which has enabled you to join the BALT course. The majority of you will have come through the University of Northampton’s own Foundation Degree in Learning and Teaching (FDLT), some recently; others longer ago. Some of you are joining us from other institutions.</w:t>
      </w:r>
    </w:p>
    <w:p w:rsidR="00AD2866" w:rsidRDefault="00AD2866" w:rsidP="00152DE3">
      <w:pPr>
        <w:pStyle w:val="Default"/>
        <w:rPr>
          <w:rFonts w:ascii="Century Gothic" w:hAnsi="Century Gothic"/>
          <w:sz w:val="22"/>
          <w:szCs w:val="22"/>
        </w:rPr>
      </w:pPr>
    </w:p>
    <w:p w:rsidR="004928FC" w:rsidRDefault="00AD2866" w:rsidP="00152DE3">
      <w:pPr>
        <w:pStyle w:val="Default"/>
        <w:rPr>
          <w:rFonts w:ascii="Century Gothic" w:hAnsi="Century Gothic"/>
          <w:sz w:val="22"/>
          <w:szCs w:val="22"/>
        </w:rPr>
      </w:pPr>
      <w:r>
        <w:rPr>
          <w:rFonts w:ascii="Century Gothic" w:hAnsi="Century Gothic"/>
          <w:sz w:val="22"/>
          <w:szCs w:val="22"/>
        </w:rPr>
        <w:t>Whatever your route to the course, we</w:t>
      </w:r>
      <w:r w:rsidR="00152DE3" w:rsidRPr="00AD2866">
        <w:rPr>
          <w:rFonts w:ascii="Century Gothic" w:hAnsi="Century Gothic"/>
          <w:sz w:val="22"/>
          <w:szCs w:val="22"/>
        </w:rPr>
        <w:t xml:space="preserve"> are delighted </w:t>
      </w:r>
      <w:r w:rsidR="004928FC">
        <w:rPr>
          <w:rFonts w:ascii="Century Gothic" w:hAnsi="Century Gothic"/>
          <w:sz w:val="22"/>
          <w:szCs w:val="22"/>
        </w:rPr>
        <w:t xml:space="preserve">and privileged </w:t>
      </w:r>
      <w:r w:rsidR="00152DE3" w:rsidRPr="00AD2866">
        <w:rPr>
          <w:rFonts w:ascii="Century Gothic" w:hAnsi="Century Gothic"/>
          <w:sz w:val="22"/>
          <w:szCs w:val="22"/>
        </w:rPr>
        <w:t>that you have chosen to study with us</w:t>
      </w:r>
      <w:r w:rsidR="004928FC">
        <w:rPr>
          <w:rFonts w:ascii="Century Gothic" w:hAnsi="Century Gothic"/>
          <w:sz w:val="22"/>
          <w:szCs w:val="22"/>
        </w:rPr>
        <w:t xml:space="preserve"> for your final undergraduate year. The BALT programme is designed to equip you with a breadth and depth of knowledge relating to teaching and learning in schools and other settings in preparation for postgraduate teaching courses or other roles within the education sector.</w:t>
      </w:r>
    </w:p>
    <w:p w:rsidR="004928FC" w:rsidRDefault="004928FC" w:rsidP="00152DE3">
      <w:pPr>
        <w:pStyle w:val="Default"/>
        <w:rPr>
          <w:rFonts w:ascii="Century Gothic" w:hAnsi="Century Gothic"/>
          <w:sz w:val="22"/>
          <w:szCs w:val="22"/>
        </w:rPr>
      </w:pPr>
    </w:p>
    <w:p w:rsidR="00152DE3" w:rsidRDefault="004928FC" w:rsidP="00152DE3">
      <w:pPr>
        <w:pStyle w:val="Default"/>
        <w:rPr>
          <w:rFonts w:ascii="Century Gothic" w:hAnsi="Century Gothic"/>
          <w:sz w:val="22"/>
          <w:szCs w:val="22"/>
        </w:rPr>
      </w:pPr>
      <w:r>
        <w:rPr>
          <w:rFonts w:ascii="Century Gothic" w:hAnsi="Century Gothic"/>
          <w:sz w:val="22"/>
          <w:szCs w:val="22"/>
        </w:rPr>
        <w:t xml:space="preserve">We hope that </w:t>
      </w:r>
      <w:r w:rsidR="00152DE3" w:rsidRPr="00AD2866">
        <w:rPr>
          <w:rFonts w:ascii="Century Gothic" w:hAnsi="Century Gothic"/>
          <w:sz w:val="22"/>
          <w:szCs w:val="22"/>
        </w:rPr>
        <w:t xml:space="preserve">the following information will support you in preparing to </w:t>
      </w:r>
      <w:r>
        <w:rPr>
          <w:rFonts w:ascii="Century Gothic" w:hAnsi="Century Gothic"/>
          <w:sz w:val="22"/>
          <w:szCs w:val="22"/>
        </w:rPr>
        <w:t xml:space="preserve">begin the course </w:t>
      </w:r>
      <w:proofErr w:type="gramStart"/>
      <w:r>
        <w:rPr>
          <w:rFonts w:ascii="Century Gothic" w:hAnsi="Century Gothic"/>
          <w:sz w:val="22"/>
          <w:szCs w:val="22"/>
        </w:rPr>
        <w:t xml:space="preserve">in </w:t>
      </w:r>
      <w:r w:rsidR="00152DE3" w:rsidRPr="00AD2866">
        <w:rPr>
          <w:rFonts w:ascii="Century Gothic" w:hAnsi="Century Gothic"/>
          <w:sz w:val="22"/>
          <w:szCs w:val="22"/>
        </w:rPr>
        <w:t xml:space="preserve"> September</w:t>
      </w:r>
      <w:proofErr w:type="gramEnd"/>
      <w:r>
        <w:rPr>
          <w:rFonts w:ascii="Century Gothic" w:hAnsi="Century Gothic"/>
          <w:sz w:val="22"/>
          <w:szCs w:val="22"/>
        </w:rPr>
        <w:t xml:space="preserve">. If you </w:t>
      </w:r>
      <w:proofErr w:type="gramStart"/>
      <w:r>
        <w:rPr>
          <w:rFonts w:ascii="Century Gothic" w:hAnsi="Century Gothic"/>
          <w:sz w:val="22"/>
          <w:szCs w:val="22"/>
        </w:rPr>
        <w:t xml:space="preserve">have </w:t>
      </w:r>
      <w:r w:rsidR="00152DE3" w:rsidRPr="00AD2866">
        <w:rPr>
          <w:rFonts w:ascii="Century Gothic" w:hAnsi="Century Gothic"/>
          <w:sz w:val="22"/>
          <w:szCs w:val="22"/>
        </w:rPr>
        <w:t xml:space="preserve"> any</w:t>
      </w:r>
      <w:proofErr w:type="gramEnd"/>
      <w:r w:rsidR="00152DE3" w:rsidRPr="00AD2866">
        <w:rPr>
          <w:rFonts w:ascii="Century Gothic" w:hAnsi="Century Gothic"/>
          <w:sz w:val="22"/>
          <w:szCs w:val="22"/>
        </w:rPr>
        <w:t xml:space="preserve"> questions please contact</w:t>
      </w:r>
      <w:r>
        <w:rPr>
          <w:rFonts w:ascii="Century Gothic" w:hAnsi="Century Gothic"/>
          <w:sz w:val="22"/>
          <w:szCs w:val="22"/>
        </w:rPr>
        <w:t xml:space="preserve"> the programme leader, Dom Murphy </w:t>
      </w:r>
      <w:hyperlink r:id="rId5" w:history="1">
        <w:r w:rsidRPr="0069264E">
          <w:rPr>
            <w:rStyle w:val="Hyperlink"/>
            <w:rFonts w:ascii="Century Gothic" w:hAnsi="Century Gothic"/>
            <w:sz w:val="22"/>
            <w:szCs w:val="22"/>
          </w:rPr>
          <w:t>Dominic.murphy@northampton.ac.uk</w:t>
        </w:r>
      </w:hyperlink>
    </w:p>
    <w:p w:rsidR="004928FC" w:rsidRDefault="004928FC" w:rsidP="00152DE3">
      <w:pPr>
        <w:pStyle w:val="Default"/>
        <w:rPr>
          <w:rFonts w:ascii="Century Gothic" w:hAnsi="Century Gothic"/>
          <w:sz w:val="22"/>
          <w:szCs w:val="22"/>
        </w:rPr>
      </w:pPr>
    </w:p>
    <w:p w:rsidR="004928FC" w:rsidRPr="00AD2866" w:rsidRDefault="004928FC" w:rsidP="00152DE3">
      <w:pPr>
        <w:pStyle w:val="Default"/>
        <w:rPr>
          <w:rFonts w:ascii="Century Gothic" w:hAnsi="Century Gothic"/>
          <w:sz w:val="22"/>
          <w:szCs w:val="22"/>
        </w:rPr>
      </w:pPr>
    </w:p>
    <w:p w:rsidR="00152DE3" w:rsidRDefault="00152DE3" w:rsidP="00152DE3">
      <w:pPr>
        <w:pStyle w:val="Default"/>
        <w:rPr>
          <w:rFonts w:ascii="Century Gothic" w:hAnsi="Century Gothic" w:cs="Calibri,Bold"/>
          <w:b/>
          <w:bCs/>
          <w:sz w:val="28"/>
          <w:szCs w:val="28"/>
        </w:rPr>
      </w:pPr>
      <w:r w:rsidRPr="00AD2866">
        <w:rPr>
          <w:rFonts w:ascii="Century Gothic" w:hAnsi="Century Gothic" w:cs="Calibri,Bold"/>
          <w:b/>
          <w:bCs/>
          <w:sz w:val="28"/>
          <w:szCs w:val="28"/>
        </w:rPr>
        <w:t>What will you study?</w:t>
      </w:r>
    </w:p>
    <w:p w:rsidR="00B922A7" w:rsidRPr="00B922A7" w:rsidRDefault="00B922A7" w:rsidP="00152DE3">
      <w:pPr>
        <w:pStyle w:val="Default"/>
        <w:rPr>
          <w:rFonts w:ascii="Century Gothic" w:hAnsi="Century Gothic"/>
          <w:sz w:val="22"/>
          <w:szCs w:val="22"/>
        </w:rPr>
      </w:pPr>
      <w:r>
        <w:rPr>
          <w:rFonts w:ascii="Century Gothic" w:hAnsi="Century Gothic"/>
          <w:sz w:val="22"/>
          <w:szCs w:val="22"/>
        </w:rPr>
        <w:lastRenderedPageBreak/>
        <w:br/>
        <w:t>The course consists of four 20 credit modules, plus the 40 credit dissertation:</w:t>
      </w:r>
      <w:r>
        <w:rPr>
          <w:rFonts w:ascii="Century Gothic" w:hAnsi="Century Gothic"/>
          <w:sz w:val="22"/>
          <w:szCs w:val="22"/>
        </w:rPr>
        <w:br/>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701"/>
      </w:tblGrid>
      <w:tr w:rsidR="00B922A7" w:rsidRPr="00AD2866" w:rsidTr="00B922A7">
        <w:trPr>
          <w:trHeight w:val="104"/>
        </w:trPr>
        <w:tc>
          <w:tcPr>
            <w:tcW w:w="6345" w:type="dxa"/>
            <w:tcBorders>
              <w:top w:val="nil"/>
              <w:left w:val="nil"/>
              <w:bottom w:val="nil"/>
              <w:right w:val="nil"/>
            </w:tcBorders>
          </w:tcPr>
          <w:p w:rsidR="00B922A7" w:rsidRPr="00285320" w:rsidRDefault="00B922A7" w:rsidP="00B922A7">
            <w:pPr>
              <w:autoSpaceDE w:val="0"/>
              <w:autoSpaceDN w:val="0"/>
              <w:adjustRightInd w:val="0"/>
              <w:spacing w:after="0" w:line="240" w:lineRule="auto"/>
              <w:rPr>
                <w:rFonts w:ascii="Century Gothic" w:hAnsi="Century Gothic" w:cs="Calibri"/>
                <w:color w:val="008100"/>
                <w:sz w:val="24"/>
                <w:szCs w:val="24"/>
              </w:rPr>
            </w:pPr>
            <w:r w:rsidRPr="00285320">
              <w:rPr>
                <w:rFonts w:ascii="Century Gothic" w:hAnsi="Century Gothic" w:cs="Calibri"/>
                <w:color w:val="000000"/>
                <w:sz w:val="24"/>
                <w:szCs w:val="24"/>
              </w:rPr>
              <w:t xml:space="preserve">PDT3001: </w:t>
            </w:r>
            <w:r w:rsidRPr="00285320">
              <w:rPr>
                <w:rFonts w:ascii="Century Gothic" w:hAnsi="Century Gothic"/>
              </w:rPr>
              <w:t>Issues of Equality in Educational Settings</w:t>
            </w:r>
          </w:p>
        </w:tc>
        <w:tc>
          <w:tcPr>
            <w:tcW w:w="1701" w:type="dxa"/>
            <w:tcBorders>
              <w:top w:val="nil"/>
              <w:left w:val="nil"/>
              <w:bottom w:val="nil"/>
              <w:right w:val="nil"/>
            </w:tcBorders>
          </w:tcPr>
          <w:p w:rsidR="00B922A7" w:rsidRPr="00B922A7" w:rsidRDefault="00B922A7" w:rsidP="00B922A7">
            <w:pPr>
              <w:tabs>
                <w:tab w:val="left" w:pos="2785"/>
              </w:tabs>
              <w:autoSpaceDE w:val="0"/>
              <w:autoSpaceDN w:val="0"/>
              <w:adjustRightInd w:val="0"/>
              <w:spacing w:after="0" w:line="240" w:lineRule="auto"/>
              <w:rPr>
                <w:rFonts w:ascii="Century Gothic" w:hAnsi="Century Gothic" w:cs="Calibri"/>
                <w:sz w:val="24"/>
                <w:szCs w:val="24"/>
              </w:rPr>
            </w:pPr>
            <w:r w:rsidRPr="00B922A7">
              <w:rPr>
                <w:rFonts w:ascii="Century Gothic" w:hAnsi="Century Gothic" w:cs="Calibri"/>
                <w:sz w:val="24"/>
                <w:szCs w:val="24"/>
              </w:rPr>
              <w:t>20 credits</w:t>
            </w:r>
            <w:r w:rsidRPr="00B922A7">
              <w:rPr>
                <w:rFonts w:ascii="Century Gothic" w:hAnsi="Century Gothic" w:cs="Calibri"/>
                <w:sz w:val="24"/>
                <w:szCs w:val="24"/>
              </w:rPr>
              <w:tab/>
            </w:r>
          </w:p>
        </w:tc>
      </w:tr>
      <w:tr w:rsidR="00B922A7" w:rsidRPr="00AD2866" w:rsidTr="00B922A7">
        <w:trPr>
          <w:trHeight w:val="104"/>
        </w:trPr>
        <w:tc>
          <w:tcPr>
            <w:tcW w:w="6345" w:type="dxa"/>
            <w:tcBorders>
              <w:top w:val="nil"/>
              <w:left w:val="nil"/>
              <w:bottom w:val="nil"/>
              <w:right w:val="nil"/>
            </w:tcBorders>
          </w:tcPr>
          <w:p w:rsidR="00B922A7" w:rsidRPr="00285320" w:rsidRDefault="00B922A7" w:rsidP="00B922A7">
            <w:pPr>
              <w:autoSpaceDE w:val="0"/>
              <w:autoSpaceDN w:val="0"/>
              <w:adjustRightInd w:val="0"/>
              <w:spacing w:after="0" w:line="240" w:lineRule="auto"/>
              <w:rPr>
                <w:rFonts w:ascii="Century Gothic" w:hAnsi="Century Gothic" w:cs="Calibri"/>
                <w:color w:val="000000"/>
                <w:sz w:val="24"/>
                <w:szCs w:val="24"/>
              </w:rPr>
            </w:pPr>
            <w:r w:rsidRPr="00285320">
              <w:rPr>
                <w:rFonts w:ascii="Century Gothic" w:hAnsi="Century Gothic" w:cs="Calibri"/>
                <w:color w:val="000000"/>
                <w:sz w:val="24"/>
                <w:szCs w:val="24"/>
              </w:rPr>
              <w:t xml:space="preserve">PDT3002: </w:t>
            </w:r>
            <w:r w:rsidRPr="00285320">
              <w:rPr>
                <w:rFonts w:ascii="Century Gothic" w:hAnsi="Century Gothic"/>
              </w:rPr>
              <w:t>Professional Practice in Education</w:t>
            </w:r>
          </w:p>
        </w:tc>
        <w:tc>
          <w:tcPr>
            <w:tcW w:w="1701" w:type="dxa"/>
            <w:tcBorders>
              <w:top w:val="nil"/>
              <w:left w:val="nil"/>
              <w:bottom w:val="nil"/>
              <w:right w:val="nil"/>
            </w:tcBorders>
          </w:tcPr>
          <w:p w:rsidR="00B922A7" w:rsidRPr="00B922A7" w:rsidRDefault="00B922A7" w:rsidP="00B922A7">
            <w:pPr>
              <w:autoSpaceDE w:val="0"/>
              <w:autoSpaceDN w:val="0"/>
              <w:adjustRightInd w:val="0"/>
              <w:spacing w:after="0" w:line="240" w:lineRule="auto"/>
              <w:rPr>
                <w:rFonts w:ascii="Century Gothic" w:hAnsi="Century Gothic" w:cs="Calibri"/>
                <w:sz w:val="24"/>
                <w:szCs w:val="24"/>
              </w:rPr>
            </w:pPr>
            <w:r w:rsidRPr="00B922A7">
              <w:rPr>
                <w:rFonts w:ascii="Century Gothic" w:hAnsi="Century Gothic" w:cs="Calibri"/>
                <w:sz w:val="24"/>
                <w:szCs w:val="24"/>
              </w:rPr>
              <w:t>20 credits</w:t>
            </w:r>
          </w:p>
        </w:tc>
      </w:tr>
      <w:tr w:rsidR="00B922A7" w:rsidRPr="00AD2866" w:rsidTr="00B922A7">
        <w:trPr>
          <w:trHeight w:val="104"/>
        </w:trPr>
        <w:tc>
          <w:tcPr>
            <w:tcW w:w="6345" w:type="dxa"/>
            <w:tcBorders>
              <w:top w:val="nil"/>
              <w:left w:val="nil"/>
              <w:bottom w:val="nil"/>
              <w:right w:val="nil"/>
            </w:tcBorders>
          </w:tcPr>
          <w:p w:rsidR="00B922A7" w:rsidRPr="00285320" w:rsidRDefault="00B922A7" w:rsidP="00B922A7">
            <w:pPr>
              <w:autoSpaceDE w:val="0"/>
              <w:autoSpaceDN w:val="0"/>
              <w:adjustRightInd w:val="0"/>
              <w:spacing w:after="0" w:line="240" w:lineRule="auto"/>
              <w:rPr>
                <w:rFonts w:ascii="Century Gothic" w:hAnsi="Century Gothic" w:cs="Calibri"/>
                <w:color w:val="008100"/>
                <w:sz w:val="24"/>
                <w:szCs w:val="24"/>
              </w:rPr>
            </w:pPr>
            <w:r w:rsidRPr="00285320">
              <w:rPr>
                <w:rFonts w:ascii="Century Gothic" w:hAnsi="Century Gothic" w:cs="Calibri"/>
                <w:color w:val="000000"/>
                <w:sz w:val="24"/>
                <w:szCs w:val="24"/>
              </w:rPr>
              <w:t xml:space="preserve">PDT3003: </w:t>
            </w:r>
            <w:r w:rsidRPr="00285320">
              <w:rPr>
                <w:rFonts w:ascii="Century Gothic" w:hAnsi="Century Gothic"/>
              </w:rPr>
              <w:t>Educational Debates in Learning and Teaching</w:t>
            </w:r>
            <w:r w:rsidRPr="00285320">
              <w:rPr>
                <w:rFonts w:ascii="Century Gothic" w:hAnsi="Century Gothic" w:cs="Calibri"/>
                <w:color w:val="008100"/>
                <w:sz w:val="24"/>
                <w:szCs w:val="24"/>
              </w:rPr>
              <w:t xml:space="preserve"> </w:t>
            </w:r>
          </w:p>
        </w:tc>
        <w:tc>
          <w:tcPr>
            <w:tcW w:w="1701" w:type="dxa"/>
            <w:tcBorders>
              <w:top w:val="nil"/>
              <w:left w:val="nil"/>
              <w:bottom w:val="nil"/>
              <w:right w:val="nil"/>
            </w:tcBorders>
          </w:tcPr>
          <w:p w:rsidR="00B922A7" w:rsidRPr="00B922A7" w:rsidRDefault="00B922A7" w:rsidP="00B922A7">
            <w:pPr>
              <w:autoSpaceDE w:val="0"/>
              <w:autoSpaceDN w:val="0"/>
              <w:adjustRightInd w:val="0"/>
              <w:spacing w:after="0" w:line="240" w:lineRule="auto"/>
              <w:rPr>
                <w:rFonts w:ascii="Century Gothic" w:hAnsi="Century Gothic" w:cs="Calibri"/>
                <w:sz w:val="24"/>
                <w:szCs w:val="24"/>
              </w:rPr>
            </w:pPr>
            <w:r w:rsidRPr="00B922A7">
              <w:rPr>
                <w:rFonts w:ascii="Century Gothic" w:hAnsi="Century Gothic" w:cs="Calibri"/>
                <w:sz w:val="24"/>
                <w:szCs w:val="24"/>
              </w:rPr>
              <w:t>20 credits</w:t>
            </w:r>
          </w:p>
        </w:tc>
      </w:tr>
      <w:tr w:rsidR="00B922A7" w:rsidRPr="00AD2866" w:rsidTr="00B922A7">
        <w:trPr>
          <w:trHeight w:val="104"/>
        </w:trPr>
        <w:tc>
          <w:tcPr>
            <w:tcW w:w="6345" w:type="dxa"/>
            <w:tcBorders>
              <w:top w:val="nil"/>
              <w:left w:val="nil"/>
              <w:bottom w:val="nil"/>
              <w:right w:val="nil"/>
            </w:tcBorders>
          </w:tcPr>
          <w:p w:rsidR="00B922A7" w:rsidRPr="00285320" w:rsidRDefault="00B922A7" w:rsidP="00B922A7">
            <w:pPr>
              <w:autoSpaceDE w:val="0"/>
              <w:autoSpaceDN w:val="0"/>
              <w:adjustRightInd w:val="0"/>
              <w:spacing w:after="0" w:line="240" w:lineRule="auto"/>
              <w:rPr>
                <w:rFonts w:ascii="Century Gothic" w:hAnsi="Century Gothic" w:cs="Calibri"/>
                <w:color w:val="000000"/>
                <w:sz w:val="24"/>
                <w:szCs w:val="24"/>
              </w:rPr>
            </w:pPr>
            <w:r w:rsidRPr="00285320">
              <w:rPr>
                <w:rFonts w:ascii="Century Gothic" w:hAnsi="Century Gothic" w:cs="Calibri"/>
                <w:color w:val="000000"/>
                <w:sz w:val="24"/>
                <w:szCs w:val="24"/>
              </w:rPr>
              <w:t xml:space="preserve">PDT 3004: </w:t>
            </w:r>
            <w:r w:rsidRPr="00285320">
              <w:rPr>
                <w:rFonts w:ascii="Century Gothic" w:hAnsi="Century Gothic"/>
              </w:rPr>
              <w:t>Research Methods in Education</w:t>
            </w:r>
          </w:p>
        </w:tc>
        <w:tc>
          <w:tcPr>
            <w:tcW w:w="1701" w:type="dxa"/>
            <w:tcBorders>
              <w:top w:val="nil"/>
              <w:left w:val="nil"/>
              <w:bottom w:val="nil"/>
              <w:right w:val="nil"/>
            </w:tcBorders>
          </w:tcPr>
          <w:p w:rsidR="00B922A7" w:rsidRPr="00B922A7" w:rsidRDefault="00B922A7" w:rsidP="00B922A7">
            <w:pPr>
              <w:autoSpaceDE w:val="0"/>
              <w:autoSpaceDN w:val="0"/>
              <w:adjustRightInd w:val="0"/>
              <w:spacing w:after="0" w:line="240" w:lineRule="auto"/>
              <w:rPr>
                <w:rFonts w:ascii="Century Gothic" w:hAnsi="Century Gothic" w:cs="Calibri"/>
                <w:sz w:val="24"/>
                <w:szCs w:val="24"/>
              </w:rPr>
            </w:pPr>
            <w:r w:rsidRPr="00B922A7">
              <w:rPr>
                <w:rFonts w:ascii="Century Gothic" w:hAnsi="Century Gothic" w:cs="Calibri"/>
                <w:sz w:val="24"/>
                <w:szCs w:val="24"/>
              </w:rPr>
              <w:t>20 credits</w:t>
            </w:r>
          </w:p>
        </w:tc>
      </w:tr>
      <w:tr w:rsidR="00B922A7" w:rsidRPr="00AD2866" w:rsidTr="00B922A7">
        <w:trPr>
          <w:trHeight w:val="232"/>
        </w:trPr>
        <w:tc>
          <w:tcPr>
            <w:tcW w:w="6345" w:type="dxa"/>
            <w:tcBorders>
              <w:top w:val="nil"/>
              <w:left w:val="nil"/>
              <w:bottom w:val="nil"/>
              <w:right w:val="nil"/>
            </w:tcBorders>
          </w:tcPr>
          <w:p w:rsidR="00B922A7" w:rsidRPr="00285320" w:rsidRDefault="00B922A7" w:rsidP="00B922A7">
            <w:pPr>
              <w:autoSpaceDE w:val="0"/>
              <w:autoSpaceDN w:val="0"/>
              <w:adjustRightInd w:val="0"/>
              <w:spacing w:after="0" w:line="240" w:lineRule="auto"/>
              <w:rPr>
                <w:rFonts w:ascii="Century Gothic" w:hAnsi="Century Gothic" w:cs="Calibri"/>
                <w:color w:val="008100"/>
                <w:sz w:val="24"/>
                <w:szCs w:val="24"/>
              </w:rPr>
            </w:pPr>
            <w:r w:rsidRPr="00285320">
              <w:rPr>
                <w:rFonts w:ascii="Century Gothic" w:hAnsi="Century Gothic" w:cs="Calibri"/>
                <w:color w:val="000000"/>
                <w:sz w:val="24"/>
                <w:szCs w:val="24"/>
              </w:rPr>
              <w:t xml:space="preserve">PDT4001: Dissertation  </w:t>
            </w:r>
          </w:p>
        </w:tc>
        <w:tc>
          <w:tcPr>
            <w:tcW w:w="1701" w:type="dxa"/>
            <w:tcBorders>
              <w:top w:val="nil"/>
              <w:left w:val="nil"/>
              <w:bottom w:val="nil"/>
              <w:right w:val="nil"/>
            </w:tcBorders>
          </w:tcPr>
          <w:p w:rsidR="00B922A7" w:rsidRPr="00B922A7" w:rsidRDefault="00B922A7" w:rsidP="00B922A7">
            <w:pPr>
              <w:autoSpaceDE w:val="0"/>
              <w:autoSpaceDN w:val="0"/>
              <w:adjustRightInd w:val="0"/>
              <w:spacing w:after="0" w:line="240" w:lineRule="auto"/>
              <w:rPr>
                <w:rFonts w:ascii="Century Gothic" w:hAnsi="Century Gothic" w:cs="Calibri"/>
                <w:sz w:val="24"/>
                <w:szCs w:val="24"/>
              </w:rPr>
            </w:pPr>
            <w:r w:rsidRPr="00B922A7">
              <w:rPr>
                <w:rFonts w:ascii="Century Gothic" w:hAnsi="Century Gothic" w:cs="Calibri"/>
                <w:sz w:val="24"/>
                <w:szCs w:val="24"/>
              </w:rPr>
              <w:t>40 credits</w:t>
            </w:r>
          </w:p>
        </w:tc>
      </w:tr>
    </w:tbl>
    <w:p w:rsidR="00152DE3" w:rsidRPr="00AD2866" w:rsidRDefault="00152DE3" w:rsidP="00152DE3">
      <w:pPr>
        <w:rPr>
          <w:rFonts w:ascii="Century Gothic" w:hAnsi="Century Gothic"/>
          <w:b/>
          <w:bCs/>
        </w:rPr>
      </w:pPr>
    </w:p>
    <w:p w:rsidR="00285320" w:rsidRPr="00AD2866" w:rsidRDefault="00285320" w:rsidP="00285320">
      <w:pPr>
        <w:pStyle w:val="Default"/>
        <w:rPr>
          <w:rFonts w:ascii="Century Gothic" w:hAnsi="Century Gothic"/>
          <w:sz w:val="28"/>
          <w:szCs w:val="28"/>
        </w:rPr>
      </w:pPr>
      <w:r>
        <w:rPr>
          <w:rFonts w:ascii="Century Gothic" w:hAnsi="Century Gothic"/>
          <w:b/>
          <w:bCs/>
          <w:sz w:val="28"/>
          <w:szCs w:val="28"/>
        </w:rPr>
        <w:t>Sessions</w:t>
      </w:r>
    </w:p>
    <w:p w:rsidR="00285320" w:rsidRDefault="00285320" w:rsidP="00285320">
      <w:pPr>
        <w:pStyle w:val="Default"/>
        <w:rPr>
          <w:rFonts w:ascii="Century Gothic" w:hAnsi="Century Gothic"/>
          <w:sz w:val="22"/>
          <w:szCs w:val="22"/>
        </w:rPr>
      </w:pPr>
      <w:r>
        <w:rPr>
          <w:rFonts w:ascii="Century Gothic" w:hAnsi="Century Gothic"/>
          <w:sz w:val="22"/>
          <w:szCs w:val="22"/>
        </w:rPr>
        <w:t>All taught sessions will be 9:00-12:00am and 1:00-4:00pm.</w:t>
      </w:r>
      <w:r w:rsidRPr="00AD2866">
        <w:rPr>
          <w:rFonts w:ascii="Century Gothic" w:hAnsi="Century Gothic"/>
          <w:sz w:val="22"/>
          <w:szCs w:val="22"/>
        </w:rPr>
        <w:t xml:space="preserve"> </w:t>
      </w:r>
      <w:r>
        <w:rPr>
          <w:rFonts w:ascii="Century Gothic" w:hAnsi="Century Gothic"/>
          <w:sz w:val="22"/>
          <w:szCs w:val="22"/>
        </w:rPr>
        <w:t>The Northampton cohort sessions will be on Tuesdays, starting on 5</w:t>
      </w:r>
      <w:r w:rsidRPr="00285320">
        <w:rPr>
          <w:rFonts w:ascii="Century Gothic" w:hAnsi="Century Gothic"/>
          <w:sz w:val="22"/>
          <w:szCs w:val="22"/>
          <w:vertAlign w:val="superscript"/>
        </w:rPr>
        <w:t>th</w:t>
      </w:r>
      <w:r>
        <w:rPr>
          <w:rFonts w:ascii="Century Gothic" w:hAnsi="Century Gothic"/>
          <w:sz w:val="22"/>
          <w:szCs w:val="22"/>
        </w:rPr>
        <w:t xml:space="preserve"> September, and the Leicester cohort sessions will be on Thursdays, starting on 7</w:t>
      </w:r>
      <w:r w:rsidRPr="00285320">
        <w:rPr>
          <w:rFonts w:ascii="Century Gothic" w:hAnsi="Century Gothic"/>
          <w:sz w:val="22"/>
          <w:szCs w:val="22"/>
          <w:vertAlign w:val="superscript"/>
        </w:rPr>
        <w:t>th</w:t>
      </w:r>
      <w:r>
        <w:rPr>
          <w:rFonts w:ascii="Century Gothic" w:hAnsi="Century Gothic"/>
          <w:sz w:val="22"/>
          <w:szCs w:val="22"/>
        </w:rPr>
        <w:t xml:space="preserve"> September. (The first Leicester session will be at Park Campus, Northampton).</w:t>
      </w:r>
    </w:p>
    <w:p w:rsidR="00285320" w:rsidRDefault="00285320" w:rsidP="00285320">
      <w:pPr>
        <w:pStyle w:val="Default"/>
        <w:rPr>
          <w:rFonts w:ascii="Century Gothic" w:hAnsi="Century Gothic"/>
          <w:sz w:val="22"/>
          <w:szCs w:val="22"/>
        </w:rPr>
      </w:pPr>
      <w:r>
        <w:rPr>
          <w:rFonts w:ascii="Century Gothic" w:hAnsi="Century Gothic"/>
          <w:sz w:val="22"/>
          <w:szCs w:val="22"/>
        </w:rPr>
        <w:t>Formal timetables will be circulated at the start of the course.</w:t>
      </w:r>
    </w:p>
    <w:p w:rsidR="00285320" w:rsidRDefault="00285320" w:rsidP="00152DE3">
      <w:pPr>
        <w:pStyle w:val="Default"/>
        <w:rPr>
          <w:rFonts w:ascii="Century Gothic" w:hAnsi="Century Gothic"/>
          <w:b/>
          <w:bCs/>
          <w:sz w:val="28"/>
          <w:szCs w:val="28"/>
        </w:rPr>
      </w:pPr>
    </w:p>
    <w:p w:rsidR="00152DE3" w:rsidRPr="00AD2866" w:rsidRDefault="00152DE3" w:rsidP="00152DE3">
      <w:pPr>
        <w:pStyle w:val="Default"/>
        <w:rPr>
          <w:rFonts w:ascii="Century Gothic" w:hAnsi="Century Gothic"/>
          <w:sz w:val="28"/>
          <w:szCs w:val="28"/>
        </w:rPr>
      </w:pPr>
      <w:r w:rsidRPr="00AD2866">
        <w:rPr>
          <w:rFonts w:ascii="Century Gothic" w:hAnsi="Century Gothic"/>
          <w:b/>
          <w:bCs/>
          <w:sz w:val="28"/>
          <w:szCs w:val="28"/>
        </w:rPr>
        <w:t xml:space="preserve">Support </w:t>
      </w:r>
    </w:p>
    <w:p w:rsidR="00152DE3" w:rsidRPr="00AD2866" w:rsidRDefault="00152DE3" w:rsidP="00285320">
      <w:pPr>
        <w:pStyle w:val="Default"/>
        <w:rPr>
          <w:rFonts w:ascii="Century Gothic" w:hAnsi="Century Gothic"/>
        </w:rPr>
      </w:pPr>
      <w:r w:rsidRPr="00AD2866">
        <w:rPr>
          <w:rFonts w:ascii="Century Gothic" w:hAnsi="Century Gothic"/>
          <w:sz w:val="22"/>
          <w:szCs w:val="22"/>
        </w:rPr>
        <w:t xml:space="preserve">You will all have a Personal Academic Tutor </w:t>
      </w:r>
      <w:r w:rsidR="00285320">
        <w:rPr>
          <w:rFonts w:ascii="Century Gothic" w:hAnsi="Century Gothic"/>
          <w:sz w:val="22"/>
          <w:szCs w:val="22"/>
        </w:rPr>
        <w:t>(PAT</w:t>
      </w:r>
      <w:proofErr w:type="gramStart"/>
      <w:r w:rsidR="00285320">
        <w:rPr>
          <w:rFonts w:ascii="Century Gothic" w:hAnsi="Century Gothic"/>
          <w:sz w:val="22"/>
          <w:szCs w:val="22"/>
        </w:rPr>
        <w:t>)</w:t>
      </w:r>
      <w:r w:rsidRPr="00AD2866">
        <w:rPr>
          <w:rFonts w:ascii="Century Gothic" w:hAnsi="Century Gothic"/>
          <w:sz w:val="22"/>
          <w:szCs w:val="22"/>
        </w:rPr>
        <w:t>based</w:t>
      </w:r>
      <w:proofErr w:type="gramEnd"/>
      <w:r w:rsidRPr="00AD2866">
        <w:rPr>
          <w:rFonts w:ascii="Century Gothic" w:hAnsi="Century Gothic"/>
          <w:sz w:val="22"/>
          <w:szCs w:val="22"/>
        </w:rPr>
        <w:t xml:space="preserve"> at the University</w:t>
      </w:r>
      <w:r w:rsidR="00285320">
        <w:rPr>
          <w:rFonts w:ascii="Century Gothic" w:hAnsi="Century Gothic"/>
          <w:sz w:val="22"/>
          <w:szCs w:val="22"/>
        </w:rPr>
        <w:t>. This person will be a member of the core teaming team. The PAT</w:t>
      </w:r>
      <w:r w:rsidRPr="00AD2866">
        <w:rPr>
          <w:rFonts w:ascii="Century Gothic" w:hAnsi="Century Gothic"/>
          <w:sz w:val="22"/>
          <w:szCs w:val="22"/>
        </w:rPr>
        <w:t xml:space="preserve"> is your first ‘go to person’ if you have</w:t>
      </w:r>
      <w:r w:rsidR="00285320">
        <w:rPr>
          <w:rFonts w:ascii="Century Gothic" w:hAnsi="Century Gothic"/>
          <w:sz w:val="22"/>
          <w:szCs w:val="22"/>
        </w:rPr>
        <w:t xml:space="preserve"> any questions or need support, but all of the course tutors are approachable.</w:t>
      </w:r>
    </w:p>
    <w:p w:rsidR="00152DE3" w:rsidRPr="00AD2866" w:rsidRDefault="00152DE3" w:rsidP="00152DE3">
      <w:pPr>
        <w:rPr>
          <w:rFonts w:ascii="Century Gothic" w:hAnsi="Century Gothic"/>
        </w:rPr>
      </w:pPr>
    </w:p>
    <w:p w:rsidR="00152DE3" w:rsidRPr="00AD2866" w:rsidRDefault="00152DE3" w:rsidP="00152DE3">
      <w:pPr>
        <w:pStyle w:val="Default"/>
        <w:rPr>
          <w:rFonts w:ascii="Century Gothic" w:hAnsi="Century Gothic"/>
          <w:sz w:val="28"/>
          <w:szCs w:val="28"/>
        </w:rPr>
      </w:pPr>
      <w:r w:rsidRPr="00AD2866">
        <w:rPr>
          <w:rFonts w:ascii="Century Gothic" w:hAnsi="Century Gothic"/>
          <w:b/>
          <w:bCs/>
          <w:sz w:val="28"/>
          <w:szCs w:val="28"/>
        </w:rPr>
        <w:t xml:space="preserve">Books </w:t>
      </w:r>
    </w:p>
    <w:p w:rsidR="00B922A7" w:rsidRDefault="00B922A7" w:rsidP="00152DE3">
      <w:pPr>
        <w:pStyle w:val="Default"/>
        <w:rPr>
          <w:rFonts w:ascii="Century Gothic" w:hAnsi="Century Gothic"/>
          <w:sz w:val="23"/>
          <w:szCs w:val="23"/>
        </w:rPr>
      </w:pPr>
      <w:r>
        <w:rPr>
          <w:rFonts w:ascii="Century Gothic" w:hAnsi="Century Gothic"/>
          <w:sz w:val="23"/>
          <w:szCs w:val="23"/>
        </w:rPr>
        <w:t>A key book for the course is:</w:t>
      </w:r>
      <w:r>
        <w:rPr>
          <w:rFonts w:ascii="Century Gothic" w:hAnsi="Century Gothic"/>
          <w:sz w:val="23"/>
          <w:szCs w:val="23"/>
        </w:rPr>
        <w:br/>
      </w:r>
    </w:p>
    <w:p w:rsidR="00B922A7" w:rsidRDefault="00B922A7" w:rsidP="00B922A7">
      <w:pPr>
        <w:rPr>
          <w:rFonts w:ascii="Verdana" w:hAnsi="Verdana"/>
          <w:sz w:val="20"/>
        </w:rPr>
      </w:pPr>
      <w:r w:rsidRPr="00FC1E5B">
        <w:rPr>
          <w:rFonts w:ascii="Verdana" w:hAnsi="Verdana"/>
          <w:sz w:val="20"/>
        </w:rPr>
        <w:t>Bell, J. (201</w:t>
      </w:r>
      <w:r>
        <w:rPr>
          <w:rFonts w:ascii="Verdana" w:hAnsi="Verdana"/>
          <w:sz w:val="20"/>
        </w:rPr>
        <w:t>4</w:t>
      </w:r>
      <w:r w:rsidRPr="00FC1E5B">
        <w:rPr>
          <w:rFonts w:ascii="Verdana" w:hAnsi="Verdana"/>
          <w:sz w:val="20"/>
        </w:rPr>
        <w:t xml:space="preserve">) </w:t>
      </w:r>
      <w:r w:rsidRPr="00FC1E5B">
        <w:rPr>
          <w:rFonts w:ascii="Verdana" w:hAnsi="Verdana"/>
          <w:i/>
          <w:sz w:val="20"/>
        </w:rPr>
        <w:t>Doing Your Research Project: A Guide for First –Time Researchers in Education, Health and Social Science.</w:t>
      </w:r>
      <w:r w:rsidRPr="00FC1E5B">
        <w:rPr>
          <w:rFonts w:ascii="Verdana" w:hAnsi="Verdana"/>
          <w:sz w:val="20"/>
        </w:rPr>
        <w:t xml:space="preserve"> Buckingham: Open University Press. </w:t>
      </w:r>
    </w:p>
    <w:p w:rsidR="00380124" w:rsidRDefault="00380124" w:rsidP="00380124">
      <w:pPr>
        <w:pStyle w:val="Default"/>
        <w:rPr>
          <w:rFonts w:ascii="Century Gothic" w:hAnsi="Century Gothic"/>
          <w:sz w:val="23"/>
          <w:szCs w:val="23"/>
        </w:rPr>
      </w:pPr>
      <w:r>
        <w:rPr>
          <w:rFonts w:ascii="Century Gothic" w:hAnsi="Century Gothic"/>
          <w:sz w:val="23"/>
          <w:szCs w:val="23"/>
        </w:rPr>
        <w:t xml:space="preserve">There are numerous editions of this book and it is not essential to have the most current edition. Earlier editions are readily available </w:t>
      </w:r>
      <w:proofErr w:type="spellStart"/>
      <w:r>
        <w:rPr>
          <w:rFonts w:ascii="Century Gothic" w:hAnsi="Century Gothic"/>
          <w:sz w:val="23"/>
          <w:szCs w:val="23"/>
        </w:rPr>
        <w:t>secondhand</w:t>
      </w:r>
      <w:proofErr w:type="spellEnd"/>
      <w:r>
        <w:rPr>
          <w:rFonts w:ascii="Century Gothic" w:hAnsi="Century Gothic"/>
          <w:sz w:val="23"/>
          <w:szCs w:val="23"/>
        </w:rPr>
        <w:t xml:space="preserve"> on the internet.</w:t>
      </w:r>
    </w:p>
    <w:p w:rsidR="00380124" w:rsidRPr="00FC1E5B" w:rsidRDefault="00380124" w:rsidP="00B922A7">
      <w:pPr>
        <w:rPr>
          <w:rFonts w:ascii="Verdana" w:hAnsi="Verdana"/>
          <w:sz w:val="20"/>
        </w:rPr>
      </w:pPr>
    </w:p>
    <w:p w:rsidR="00B922A7" w:rsidRDefault="00B922A7" w:rsidP="00152DE3">
      <w:pPr>
        <w:pStyle w:val="Default"/>
        <w:rPr>
          <w:rFonts w:ascii="Century Gothic" w:hAnsi="Century Gothic"/>
          <w:sz w:val="23"/>
          <w:szCs w:val="23"/>
        </w:rPr>
      </w:pPr>
      <w:proofErr w:type="gramStart"/>
      <w:r>
        <w:rPr>
          <w:rFonts w:ascii="Century Gothic" w:hAnsi="Century Gothic"/>
          <w:sz w:val="23"/>
          <w:szCs w:val="23"/>
        </w:rPr>
        <w:t>Another  recommended</w:t>
      </w:r>
      <w:proofErr w:type="gramEnd"/>
      <w:r>
        <w:rPr>
          <w:rFonts w:ascii="Century Gothic" w:hAnsi="Century Gothic"/>
          <w:sz w:val="23"/>
          <w:szCs w:val="23"/>
        </w:rPr>
        <w:t xml:space="preserve"> book is:</w:t>
      </w:r>
    </w:p>
    <w:p w:rsidR="00B922A7" w:rsidRPr="00FC1E5B" w:rsidRDefault="00380124" w:rsidP="00B922A7">
      <w:pPr>
        <w:rPr>
          <w:rFonts w:ascii="Verdana" w:hAnsi="Verdana"/>
          <w:sz w:val="20"/>
        </w:rPr>
      </w:pPr>
      <w:r>
        <w:rPr>
          <w:rFonts w:ascii="Verdana" w:hAnsi="Verdana"/>
          <w:sz w:val="20"/>
        </w:rPr>
        <w:t xml:space="preserve">Cohen, L., </w:t>
      </w:r>
      <w:proofErr w:type="spellStart"/>
      <w:r>
        <w:rPr>
          <w:rFonts w:ascii="Verdana" w:hAnsi="Verdana"/>
          <w:sz w:val="20"/>
        </w:rPr>
        <w:t>Ma</w:t>
      </w:r>
      <w:r w:rsidR="00B922A7" w:rsidRPr="00FC1E5B">
        <w:rPr>
          <w:rFonts w:ascii="Verdana" w:hAnsi="Verdana"/>
          <w:sz w:val="20"/>
        </w:rPr>
        <w:t>nion</w:t>
      </w:r>
      <w:proofErr w:type="spellEnd"/>
      <w:r w:rsidR="00B922A7" w:rsidRPr="00FC1E5B">
        <w:rPr>
          <w:rFonts w:ascii="Verdana" w:hAnsi="Verdana"/>
          <w:sz w:val="20"/>
        </w:rPr>
        <w:t xml:space="preserve">, L. and Morrison, K. (2011) </w:t>
      </w:r>
      <w:r w:rsidR="00B922A7" w:rsidRPr="00FC1E5B">
        <w:rPr>
          <w:rFonts w:ascii="Verdana" w:hAnsi="Verdana"/>
          <w:i/>
          <w:sz w:val="20"/>
        </w:rPr>
        <w:t>Research Methods in Education</w:t>
      </w:r>
      <w:r w:rsidR="00B922A7" w:rsidRPr="00FC1E5B">
        <w:rPr>
          <w:rFonts w:ascii="Verdana" w:hAnsi="Verdana"/>
          <w:sz w:val="20"/>
        </w:rPr>
        <w:t>. London: Routledge.</w:t>
      </w:r>
    </w:p>
    <w:p w:rsidR="00152DE3" w:rsidRPr="00AD2866" w:rsidRDefault="00152DE3" w:rsidP="00152DE3">
      <w:pPr>
        <w:rPr>
          <w:rFonts w:ascii="Century Gothic" w:hAnsi="Century Gothic"/>
          <w:b/>
          <w:bCs/>
          <w:sz w:val="28"/>
          <w:szCs w:val="28"/>
        </w:rPr>
      </w:pPr>
    </w:p>
    <w:p w:rsidR="00152DE3" w:rsidRPr="00AD2866" w:rsidRDefault="00152DE3" w:rsidP="00152DE3">
      <w:pPr>
        <w:pStyle w:val="Default"/>
        <w:rPr>
          <w:rFonts w:ascii="Century Gothic" w:hAnsi="Century Gothic"/>
          <w:sz w:val="28"/>
          <w:szCs w:val="28"/>
        </w:rPr>
      </w:pPr>
      <w:r w:rsidRPr="00AD2866">
        <w:rPr>
          <w:rFonts w:ascii="Century Gothic" w:hAnsi="Century Gothic"/>
          <w:b/>
          <w:bCs/>
          <w:sz w:val="28"/>
          <w:szCs w:val="28"/>
        </w:rPr>
        <w:t xml:space="preserve">What to do before you start the </w:t>
      </w:r>
      <w:r w:rsidR="00380124">
        <w:rPr>
          <w:rFonts w:ascii="Century Gothic" w:hAnsi="Century Gothic"/>
          <w:b/>
          <w:bCs/>
          <w:sz w:val="28"/>
          <w:szCs w:val="28"/>
        </w:rPr>
        <w:t>course</w:t>
      </w:r>
      <w:r w:rsidRPr="00AD2866">
        <w:rPr>
          <w:rFonts w:ascii="Century Gothic" w:hAnsi="Century Gothic"/>
          <w:b/>
          <w:bCs/>
          <w:sz w:val="28"/>
          <w:szCs w:val="28"/>
        </w:rPr>
        <w:t xml:space="preserve">? </w:t>
      </w:r>
    </w:p>
    <w:p w:rsidR="00B922A7" w:rsidRDefault="00B922A7" w:rsidP="00B922A7">
      <w:pPr>
        <w:pStyle w:val="Default"/>
        <w:rPr>
          <w:rFonts w:ascii="Century Gothic" w:hAnsi="Century Gothic"/>
          <w:sz w:val="22"/>
          <w:szCs w:val="22"/>
        </w:rPr>
      </w:pPr>
    </w:p>
    <w:p w:rsidR="00380124" w:rsidRPr="00380124" w:rsidRDefault="00380124" w:rsidP="00B922A7">
      <w:pPr>
        <w:pStyle w:val="Default"/>
        <w:rPr>
          <w:rFonts w:ascii="Century Gothic" w:hAnsi="Century Gothic"/>
          <w:sz w:val="22"/>
          <w:szCs w:val="22"/>
        </w:rPr>
      </w:pPr>
      <w:r w:rsidRPr="00380124">
        <w:rPr>
          <w:rFonts w:ascii="Century Gothic" w:hAnsi="Century Gothic"/>
          <w:sz w:val="22"/>
          <w:szCs w:val="22"/>
        </w:rPr>
        <w:t>Download and read British Educational Research Association (BERA</w:t>
      </w:r>
      <w:proofErr w:type="gramStart"/>
      <w:r w:rsidRPr="00380124">
        <w:rPr>
          <w:rFonts w:ascii="Century Gothic" w:hAnsi="Century Gothic"/>
          <w:sz w:val="22"/>
          <w:szCs w:val="22"/>
        </w:rPr>
        <w:t>)(</w:t>
      </w:r>
      <w:proofErr w:type="gramEnd"/>
      <w:r w:rsidRPr="00380124">
        <w:rPr>
          <w:rFonts w:ascii="Century Gothic" w:hAnsi="Century Gothic"/>
          <w:sz w:val="22"/>
          <w:szCs w:val="22"/>
        </w:rPr>
        <w:t xml:space="preserve">2011) </w:t>
      </w:r>
      <w:r w:rsidRPr="00380124">
        <w:rPr>
          <w:rFonts w:ascii="Century Gothic" w:hAnsi="Century Gothic"/>
          <w:i/>
          <w:sz w:val="22"/>
          <w:szCs w:val="22"/>
        </w:rPr>
        <w:t>Ethical Guidelines for Educational Research</w:t>
      </w:r>
      <w:r w:rsidRPr="00380124">
        <w:rPr>
          <w:rFonts w:ascii="Century Gothic" w:hAnsi="Century Gothic"/>
          <w:sz w:val="22"/>
          <w:szCs w:val="22"/>
        </w:rPr>
        <w:t xml:space="preserve">. Available from: </w:t>
      </w:r>
    </w:p>
    <w:p w:rsidR="00152DE3" w:rsidRDefault="00B9710E" w:rsidP="00B922A7">
      <w:pPr>
        <w:pStyle w:val="Default"/>
        <w:rPr>
          <w:rFonts w:ascii="Century Gothic" w:hAnsi="Century Gothic"/>
          <w:sz w:val="22"/>
          <w:szCs w:val="22"/>
        </w:rPr>
      </w:pPr>
      <w:hyperlink r:id="rId6" w:history="1">
        <w:r w:rsidR="00380124" w:rsidRPr="0069264E">
          <w:rPr>
            <w:rStyle w:val="Hyperlink"/>
            <w:rFonts w:ascii="Century Gothic" w:hAnsi="Century Gothic"/>
            <w:sz w:val="22"/>
            <w:szCs w:val="22"/>
          </w:rPr>
          <w:t>https://www.bera.ac.uk/wp-content/uploads/.../BERA-Ethical-Guidelines-2011.pdf</w:t>
        </w:r>
      </w:hyperlink>
      <w:r w:rsidR="00B922A7" w:rsidRPr="00380124">
        <w:rPr>
          <w:rFonts w:ascii="Century Gothic" w:hAnsi="Century Gothic"/>
          <w:sz w:val="22"/>
          <w:szCs w:val="22"/>
        </w:rPr>
        <w:t xml:space="preserve"> </w:t>
      </w:r>
    </w:p>
    <w:p w:rsidR="00380124" w:rsidRDefault="00380124" w:rsidP="00B922A7">
      <w:pPr>
        <w:pStyle w:val="Default"/>
        <w:rPr>
          <w:rFonts w:ascii="Century Gothic" w:hAnsi="Century Gothic"/>
          <w:sz w:val="22"/>
          <w:szCs w:val="22"/>
        </w:rPr>
      </w:pPr>
    </w:p>
    <w:p w:rsidR="00380124" w:rsidRPr="00380124" w:rsidRDefault="00380124" w:rsidP="00B922A7">
      <w:pPr>
        <w:pStyle w:val="Default"/>
        <w:rPr>
          <w:rFonts w:ascii="Century Gothic" w:hAnsi="Century Gothic"/>
          <w:sz w:val="22"/>
          <w:szCs w:val="22"/>
        </w:rPr>
      </w:pPr>
      <w:r>
        <w:rPr>
          <w:rFonts w:ascii="Century Gothic" w:hAnsi="Century Gothic"/>
          <w:sz w:val="22"/>
          <w:szCs w:val="22"/>
        </w:rPr>
        <w:t>This short document will be a key source for planning of your dissertation.</w:t>
      </w:r>
    </w:p>
    <w:sectPr w:rsidR="00380124" w:rsidRPr="00380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E3"/>
    <w:rsid w:val="00152DE3"/>
    <w:rsid w:val="00285320"/>
    <w:rsid w:val="00380124"/>
    <w:rsid w:val="004928FC"/>
    <w:rsid w:val="005F5660"/>
    <w:rsid w:val="0084055E"/>
    <w:rsid w:val="00AD2866"/>
    <w:rsid w:val="00B922A7"/>
    <w:rsid w:val="00B9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ABB24-734F-4EDD-B90F-2A3D6FD2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E3"/>
    <w:rPr>
      <w:rFonts w:ascii="Tahoma" w:hAnsi="Tahoma" w:cs="Tahoma"/>
      <w:sz w:val="16"/>
      <w:szCs w:val="16"/>
    </w:rPr>
  </w:style>
  <w:style w:type="paragraph" w:customStyle="1" w:styleId="Default">
    <w:name w:val="Default"/>
    <w:rsid w:val="00152DE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52DE3"/>
    <w:rPr>
      <w:color w:val="0000FF" w:themeColor="hyperlink"/>
      <w:u w:val="single"/>
    </w:rPr>
  </w:style>
  <w:style w:type="character" w:styleId="HTMLCite">
    <w:name w:val="HTML Cite"/>
    <w:basedOn w:val="DefaultParagraphFont"/>
    <w:uiPriority w:val="99"/>
    <w:semiHidden/>
    <w:unhideWhenUsed/>
    <w:rsid w:val="00380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a.ac.uk/wp-content/uploads/.../BERA-Ethical-Guidelines-2011.pdf" TargetMode="External"/><Relationship Id="rId5" Type="http://schemas.openxmlformats.org/officeDocument/2006/relationships/hyperlink" Target="mailto:Dominic.murphy@northampton.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Murphy</dc:creator>
  <cp:lastModifiedBy>Emily Shears</cp:lastModifiedBy>
  <cp:revision>2</cp:revision>
  <dcterms:created xsi:type="dcterms:W3CDTF">2017-08-08T07:42:00Z</dcterms:created>
  <dcterms:modified xsi:type="dcterms:W3CDTF">2017-08-08T07:42:00Z</dcterms:modified>
</cp:coreProperties>
</file>