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82F" w:rsidRPr="00FF08CC" w:rsidRDefault="00FF08CC">
      <w:pPr>
        <w:rPr>
          <w:rFonts w:ascii="Open Sans" w:hAnsi="Open Sans" w:cs="Open Sans"/>
          <w:b/>
          <w:sz w:val="20"/>
          <w:szCs w:val="20"/>
        </w:rPr>
      </w:pPr>
      <w:bookmarkStart w:id="0" w:name="_GoBack"/>
      <w:r w:rsidRPr="00FF08CC">
        <w:rPr>
          <w:rFonts w:ascii="Open Sans" w:hAnsi="Open Sans" w:cs="Open Sans"/>
          <w:b/>
          <w:sz w:val="20"/>
          <w:szCs w:val="20"/>
        </w:rPr>
        <w:t>Doctor of Business Administration Workshop dates 2017/18</w:t>
      </w:r>
    </w:p>
    <w:bookmarkEnd w:id="0"/>
    <w:p w:rsidR="00FF08CC" w:rsidRDefault="00FF08CC"/>
    <w:tbl>
      <w:tblPr>
        <w:tblW w:w="5374" w:type="pct"/>
        <w:tblInd w:w="113" w:type="dxa"/>
        <w:tblCellMar>
          <w:left w:w="0" w:type="dxa"/>
          <w:right w:w="0" w:type="dxa"/>
        </w:tblCellMar>
        <w:tblLook w:val="04A0" w:firstRow="1" w:lastRow="0" w:firstColumn="1" w:lastColumn="0" w:noHBand="0" w:noVBand="1"/>
      </w:tblPr>
      <w:tblGrid>
        <w:gridCol w:w="1027"/>
        <w:gridCol w:w="7074"/>
        <w:gridCol w:w="1579"/>
      </w:tblGrid>
      <w:tr w:rsidR="00FF08CC" w:rsidTr="00FF08CC">
        <w:trPr>
          <w:trHeight w:val="419"/>
        </w:trPr>
        <w:tc>
          <w:tcPr>
            <w:tcW w:w="556"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Workshop</w:t>
            </w:r>
          </w:p>
          <w:p w:rsidR="00FF08CC" w:rsidRPr="00FF08CC" w:rsidRDefault="00FF08CC">
            <w:pPr>
              <w:pStyle w:val="NoSpacing"/>
              <w:jc w:val="center"/>
              <w:rPr>
                <w:rFonts w:ascii="Open Sans" w:hAnsi="Open Sans" w:cs="Open Sans"/>
                <w:b/>
                <w:bCs/>
                <w:sz w:val="16"/>
                <w:szCs w:val="16"/>
              </w:rPr>
            </w:pPr>
          </w:p>
        </w:tc>
        <w:tc>
          <w:tcPr>
            <w:tcW w:w="273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Module Code and Title</w:t>
            </w:r>
          </w:p>
        </w:tc>
        <w:tc>
          <w:tcPr>
            <w:tcW w:w="171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Workshop Dates</w:t>
            </w:r>
          </w:p>
          <w:p w:rsidR="00FF08CC" w:rsidRPr="00FF08CC" w:rsidRDefault="00FF08CC">
            <w:pPr>
              <w:pStyle w:val="NoSpacing"/>
              <w:jc w:val="center"/>
              <w:rPr>
                <w:rFonts w:ascii="Open Sans" w:hAnsi="Open Sans" w:cs="Open Sans"/>
                <w:b/>
                <w:bCs/>
                <w:color w:val="FF0000"/>
                <w:sz w:val="16"/>
                <w:szCs w:val="16"/>
              </w:rPr>
            </w:pPr>
            <w:r w:rsidRPr="00FF08CC">
              <w:rPr>
                <w:rFonts w:ascii="Open Sans" w:hAnsi="Open Sans" w:cs="Open Sans"/>
                <w:b/>
                <w:bCs/>
                <w:sz w:val="16"/>
                <w:szCs w:val="16"/>
              </w:rPr>
              <w:t xml:space="preserve">(normally 9.00 – 17.00 days) </w:t>
            </w:r>
          </w:p>
        </w:tc>
      </w:tr>
      <w:tr w:rsidR="00FF08CC" w:rsidTr="00FF08CC">
        <w:trPr>
          <w:trHeight w:val="1257"/>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1</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Induction</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xml:space="preserve">GRA8016 Principles of Research </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(10 credits)</w:t>
            </w:r>
          </w:p>
          <w:p w:rsidR="00FF08CC" w:rsidRPr="00FF08CC" w:rsidRDefault="00FF08CC">
            <w:pPr>
              <w:pStyle w:val="NoSpacing"/>
              <w:rPr>
                <w:rFonts w:ascii="Open Sans" w:hAnsi="Open Sans" w:cs="Open Sans"/>
                <w:sz w:val="16"/>
                <w:szCs w:val="16"/>
              </w:rPr>
            </w:pP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 xml:space="preserve">This module aims to provide you with an opportunity to explore the principles and philosophy of research which underpin investigations in a variety of applied settings. </w:t>
            </w:r>
          </w:p>
          <w:p w:rsidR="00FF08CC" w:rsidRPr="00FF08CC" w:rsidRDefault="00FF08CC">
            <w:pPr>
              <w:pStyle w:val="NoSpacing"/>
              <w:rPr>
                <w:rFonts w:ascii="Open Sans" w:hAnsi="Open Sans" w:cs="Open Sans"/>
                <w:b/>
                <w:bCs/>
                <w:strike/>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Thu 19/10/2017</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Fri 20/10/2017</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Sat 21/10/2017</w:t>
            </w:r>
          </w:p>
        </w:tc>
      </w:tr>
      <w:tr w:rsidR="00FF08CC" w:rsidTr="00FF08CC">
        <w:trPr>
          <w:trHeight w:val="1041"/>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2</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GRA8004 Advanced Quantitative Data Analysis</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(20 credits)</w:t>
            </w:r>
          </w:p>
          <w:p w:rsidR="00FF08CC" w:rsidRPr="00FF08CC" w:rsidRDefault="00FF08CC">
            <w:pPr>
              <w:pStyle w:val="NoSpacing"/>
              <w:rPr>
                <w:rFonts w:ascii="Open Sans" w:hAnsi="Open Sans" w:cs="Open Sans"/>
                <w:sz w:val="16"/>
                <w:szCs w:val="16"/>
              </w:rPr>
            </w:pPr>
          </w:p>
          <w:p w:rsidR="00FF08CC" w:rsidRPr="00FF08CC" w:rsidRDefault="00FF08CC">
            <w:pPr>
              <w:pStyle w:val="NoSpacing"/>
              <w:rPr>
                <w:rFonts w:ascii="Open Sans" w:hAnsi="Open Sans" w:cs="Open Sans"/>
                <w:b/>
                <w:bCs/>
                <w:sz w:val="16"/>
                <w:szCs w:val="16"/>
              </w:rPr>
            </w:pPr>
            <w:r w:rsidRPr="00FF08CC">
              <w:rPr>
                <w:rFonts w:ascii="Open Sans" w:hAnsi="Open Sans" w:cs="Open Sans"/>
                <w:sz w:val="16"/>
                <w:szCs w:val="16"/>
              </w:rPr>
              <w:t>This module aims to develop skills in quantitative data analyse to an advanced level.</w:t>
            </w:r>
            <w:r w:rsidRPr="00FF08CC">
              <w:rPr>
                <w:rFonts w:ascii="Open Sans" w:hAnsi="Open Sans" w:cs="Open Sans"/>
                <w:b/>
                <w:bCs/>
                <w:sz w:val="16"/>
                <w:szCs w:val="16"/>
              </w:rPr>
              <w:t xml:space="preserve"> </w:t>
            </w:r>
          </w:p>
          <w:p w:rsidR="00FF08CC" w:rsidRPr="00FF08CC" w:rsidRDefault="00FF08CC">
            <w:pPr>
              <w:pStyle w:val="NoSpacing"/>
              <w:rPr>
                <w:rFonts w:ascii="Open Sans" w:hAnsi="Open Sans" w:cs="Open Sans"/>
                <w:b/>
                <w:bCs/>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Thu 11/01/2018</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Fri 12/01/2018</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Sat 13/01/2018</w:t>
            </w:r>
          </w:p>
        </w:tc>
      </w:tr>
      <w:tr w:rsidR="00FF08CC" w:rsidTr="00FF08CC">
        <w:trPr>
          <w:trHeight w:val="1041"/>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3</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GRA8010 Advanced Qualitative Data Analysis</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(20 credits)</w:t>
            </w:r>
          </w:p>
          <w:p w:rsidR="00FF08CC" w:rsidRPr="00FF08CC" w:rsidRDefault="00FF08CC">
            <w:pPr>
              <w:pStyle w:val="NoSpacing"/>
              <w:rPr>
                <w:rFonts w:ascii="Open Sans" w:hAnsi="Open Sans" w:cs="Open Sans"/>
                <w:sz w:val="16"/>
                <w:szCs w:val="16"/>
              </w:rPr>
            </w:pPr>
          </w:p>
          <w:p w:rsidR="00FF08CC" w:rsidRPr="00FF08CC" w:rsidRDefault="00FF08CC">
            <w:pPr>
              <w:pStyle w:val="NoSpacing"/>
              <w:rPr>
                <w:rFonts w:ascii="Open Sans" w:hAnsi="Open Sans" w:cs="Open Sans"/>
                <w:strike/>
                <w:sz w:val="16"/>
                <w:szCs w:val="16"/>
              </w:rPr>
            </w:pPr>
            <w:r w:rsidRPr="00FF08CC">
              <w:rPr>
                <w:rFonts w:ascii="Open Sans" w:hAnsi="Open Sans" w:cs="Open Sans"/>
                <w:sz w:val="16"/>
                <w:szCs w:val="16"/>
              </w:rPr>
              <w:t xml:space="preserve">Through this module you will become  conversant with a broad range of tools and techniques associated with qualitative methodologies  </w:t>
            </w:r>
          </w:p>
          <w:p w:rsidR="00FF08CC" w:rsidRPr="00FF08CC" w:rsidRDefault="00FF08CC">
            <w:pPr>
              <w:pStyle w:val="NoSpacing"/>
              <w:rPr>
                <w:rFonts w:ascii="Open Sans" w:hAnsi="Open Sans" w:cs="Open Sans"/>
                <w:b/>
                <w:bCs/>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Thu 12/04/2018</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Fri 13/04/2018</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Sat 14/04/2018</w:t>
            </w:r>
          </w:p>
        </w:tc>
      </w:tr>
      <w:tr w:rsidR="00FF08CC" w:rsidTr="00FF08CC">
        <w:trPr>
          <w:trHeight w:val="1054"/>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4</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GRA8001 Developing Leadership in Business Research</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( 20 credits)</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trike/>
                <w:sz w:val="16"/>
                <w:szCs w:val="16"/>
              </w:rPr>
              <w:t xml:space="preserve">  </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This module will develop skills in the translation of research into</w:t>
            </w:r>
            <w:r>
              <w:rPr>
                <w:rFonts w:ascii="Open Sans" w:hAnsi="Open Sans" w:cs="Open Sans"/>
                <w:sz w:val="16"/>
                <w:szCs w:val="16"/>
              </w:rPr>
              <w:t xml:space="preserve"> practice including addressing i</w:t>
            </w:r>
            <w:r w:rsidRPr="00FF08CC">
              <w:rPr>
                <w:rFonts w:ascii="Open Sans" w:hAnsi="Open Sans" w:cs="Open Sans"/>
                <w:sz w:val="16"/>
                <w:szCs w:val="16"/>
              </w:rPr>
              <w:t xml:space="preserve">ssues associated with the leadership and management of research and research teams. </w:t>
            </w:r>
          </w:p>
          <w:p w:rsidR="00FF08CC" w:rsidRPr="00FF08CC" w:rsidRDefault="00FF08CC">
            <w:pPr>
              <w:pStyle w:val="NoSpacing"/>
              <w:rPr>
                <w:rFonts w:ascii="Open Sans" w:hAnsi="Open Sans" w:cs="Open Sans"/>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Thu 12/07/2018</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Fri 13/07/2018</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Sat 14/07/2018</w:t>
            </w:r>
          </w:p>
        </w:tc>
      </w:tr>
      <w:tr w:rsidR="00FF08CC" w:rsidTr="00FF08CC">
        <w:trPr>
          <w:trHeight w:val="838"/>
        </w:trPr>
        <w:tc>
          <w:tcPr>
            <w:tcW w:w="5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5</w:t>
            </w:r>
          </w:p>
          <w:p w:rsidR="00FF08CC" w:rsidRPr="00FF08CC" w:rsidRDefault="00FF08CC">
            <w:pPr>
              <w:pStyle w:val="NoSpacing"/>
              <w:jc w:val="center"/>
              <w:rPr>
                <w:rFonts w:ascii="Open Sans" w:hAnsi="Open Sans" w:cs="Open Sans"/>
                <w:b/>
                <w:bCs/>
                <w:sz w:val="16"/>
                <w:szCs w:val="16"/>
              </w:rPr>
            </w:pP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xml:space="preserve">GRA8002 Reflecting on Business Practice </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(40 credits)</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Workshop 1</w:t>
            </w:r>
          </w:p>
          <w:p w:rsidR="00FF08CC" w:rsidRPr="00FF08CC" w:rsidRDefault="00FF08CC">
            <w:pPr>
              <w:pStyle w:val="NoSpacing"/>
              <w:rPr>
                <w:rFonts w:ascii="Open Sans" w:hAnsi="Open Sans" w:cs="Open Sans"/>
                <w:b/>
                <w:bCs/>
                <w:color w:val="FF0000"/>
                <w:sz w:val="16"/>
                <w:szCs w:val="16"/>
              </w:rPr>
            </w:pPr>
          </w:p>
          <w:p w:rsidR="00FF08CC" w:rsidRPr="00FF08CC" w:rsidRDefault="00FF08CC">
            <w:pPr>
              <w:pStyle w:val="NoSpacing"/>
              <w:rPr>
                <w:rFonts w:ascii="Open Sans" w:hAnsi="Open Sans" w:cs="Open Sans"/>
                <w:strike/>
                <w:sz w:val="16"/>
                <w:szCs w:val="16"/>
              </w:rPr>
            </w:pPr>
            <w:r w:rsidRPr="00FF08CC">
              <w:rPr>
                <w:rFonts w:ascii="Open Sans" w:hAnsi="Open Sans" w:cs="Open Sans"/>
                <w:sz w:val="16"/>
                <w:szCs w:val="16"/>
              </w:rPr>
              <w:t xml:space="preserve">This major module aims to provide you with the opportunity to acquire appropriate evidence and to critically reflect upon existing practice and your own experience within a professional context. </w:t>
            </w:r>
          </w:p>
          <w:p w:rsidR="00FF08CC" w:rsidRPr="00FF08CC" w:rsidRDefault="00FF08CC">
            <w:pPr>
              <w:pStyle w:val="NoSpacing"/>
              <w:rPr>
                <w:rFonts w:ascii="Open Sans" w:hAnsi="Open Sans" w:cs="Open Sans"/>
                <w:b/>
                <w:bCs/>
                <w:strike/>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Thu 11/10/2018</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Fri 12/10/2018</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Sat 13/10/2018</w:t>
            </w:r>
          </w:p>
        </w:tc>
      </w:tr>
      <w:tr w:rsidR="00FF08CC" w:rsidTr="00FF08CC">
        <w:trPr>
          <w:trHeight w:val="139"/>
        </w:trPr>
        <w:tc>
          <w:tcPr>
            <w:tcW w:w="0" w:type="auto"/>
            <w:vMerge/>
            <w:tcBorders>
              <w:top w:val="nil"/>
              <w:left w:val="single" w:sz="8" w:space="0" w:color="auto"/>
              <w:bottom w:val="single" w:sz="8" w:space="0" w:color="auto"/>
              <w:right w:val="single" w:sz="8" w:space="0" w:color="auto"/>
            </w:tcBorders>
            <w:vAlign w:val="center"/>
            <w:hideMark/>
          </w:tcPr>
          <w:p w:rsidR="00FF08CC" w:rsidRPr="00FF08CC" w:rsidRDefault="00FF08CC">
            <w:pPr>
              <w:rPr>
                <w:rFonts w:ascii="Open Sans" w:hAnsi="Open Sans" w:cs="Open Sans"/>
                <w:b/>
                <w:bCs/>
                <w:sz w:val="16"/>
                <w:szCs w:val="16"/>
              </w:rPr>
            </w:pP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xml:space="preserve">GRA8002 Reflecting on Business Practice </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Workshop 2</w:t>
            </w:r>
          </w:p>
          <w:p w:rsidR="00FF08CC" w:rsidRPr="00FF08CC" w:rsidRDefault="00FF08CC">
            <w:pPr>
              <w:pStyle w:val="NoSpacing"/>
              <w:rPr>
                <w:rFonts w:ascii="Open Sans" w:hAnsi="Open Sans" w:cs="Open Sans"/>
                <w:strike/>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Thu 10/01/2019</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Fri 11/01/2019</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Sat 12/01/2019</w:t>
            </w:r>
          </w:p>
        </w:tc>
      </w:tr>
      <w:tr w:rsidR="00FF08CC" w:rsidTr="00FF08CC">
        <w:trPr>
          <w:trHeight w:val="947"/>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7</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GRA8015 The Research Proposal</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(10 credits)</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xml:space="preserve">Transitions workshop and critical friend </w:t>
            </w:r>
          </w:p>
          <w:p w:rsidR="00FF08CC" w:rsidRPr="00FF08CC" w:rsidRDefault="00FF08CC">
            <w:pPr>
              <w:pStyle w:val="NoSpacing"/>
              <w:rPr>
                <w:rFonts w:ascii="Open Sans" w:hAnsi="Open Sans" w:cs="Open Sans"/>
                <w:strike/>
                <w:sz w:val="16"/>
                <w:szCs w:val="16"/>
              </w:rPr>
            </w:pP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 xml:space="preserve">This module aims to draw together the knowledge and skills provided in the preceding modules so that you can define an original work based research project with clear aims and research philosophical underpinning. </w:t>
            </w:r>
          </w:p>
          <w:p w:rsidR="00FF08CC" w:rsidRPr="00FF08CC" w:rsidRDefault="00FF08CC">
            <w:pPr>
              <w:pStyle w:val="NoSpacing"/>
              <w:rPr>
                <w:rFonts w:ascii="Open Sans" w:hAnsi="Open Sans" w:cs="Open Sans"/>
                <w:sz w:val="16"/>
                <w:szCs w:val="16"/>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Thu 16/05/2019</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Fri 17/05/2019</w:t>
            </w: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Sat 18/05/2019</w:t>
            </w:r>
          </w:p>
        </w:tc>
      </w:tr>
      <w:tr w:rsidR="00FF08CC" w:rsidTr="00FF08CC">
        <w:trPr>
          <w:trHeight w:val="947"/>
        </w:trPr>
        <w:tc>
          <w:tcPr>
            <w:tcW w:w="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jc w:val="center"/>
              <w:rPr>
                <w:rFonts w:ascii="Open Sans" w:hAnsi="Open Sans" w:cs="Open Sans"/>
                <w:b/>
                <w:bCs/>
                <w:sz w:val="16"/>
                <w:szCs w:val="16"/>
              </w:rPr>
            </w:pPr>
            <w:r w:rsidRPr="00FF08CC">
              <w:rPr>
                <w:rFonts w:ascii="Open Sans" w:hAnsi="Open Sans" w:cs="Open Sans"/>
                <w:b/>
                <w:bCs/>
                <w:sz w:val="16"/>
                <w:szCs w:val="16"/>
              </w:rPr>
              <w:t>8</w:t>
            </w:r>
          </w:p>
        </w:tc>
        <w:tc>
          <w:tcPr>
            <w:tcW w:w="2730" w:type="pct"/>
            <w:tcBorders>
              <w:top w:val="nil"/>
              <w:left w:val="nil"/>
              <w:bottom w:val="single" w:sz="8" w:space="0" w:color="auto"/>
              <w:right w:val="single" w:sz="8" w:space="0" w:color="auto"/>
            </w:tcBorders>
            <w:tcMar>
              <w:top w:w="0" w:type="dxa"/>
              <w:left w:w="108" w:type="dxa"/>
              <w:bottom w:w="0" w:type="dxa"/>
              <w:right w:w="108" w:type="dxa"/>
            </w:tcMar>
          </w:tcPr>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GRA8006 Professional Research</w:t>
            </w:r>
          </w:p>
          <w:p w:rsidR="00FF08CC" w:rsidRPr="00FF08CC" w:rsidRDefault="00FF08CC">
            <w:pPr>
              <w:pStyle w:val="NoSpacing"/>
              <w:rPr>
                <w:rFonts w:ascii="Open Sans" w:hAnsi="Open Sans" w:cs="Open Sans"/>
                <w:b/>
                <w:bCs/>
                <w:sz w:val="16"/>
                <w:szCs w:val="16"/>
              </w:rPr>
            </w:pPr>
          </w:p>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 xml:space="preserve">The thesis element of a professional doctorate programme provides you with the opportunity to demonstrate high level research skills in a written thesis and defend those at an oral examination. </w:t>
            </w:r>
          </w:p>
          <w:p w:rsidR="00FF08CC" w:rsidRPr="00FF08CC" w:rsidRDefault="00FF08CC">
            <w:pPr>
              <w:pStyle w:val="NoSpacing"/>
              <w:rPr>
                <w:rFonts w:ascii="Open Sans" w:hAnsi="Open Sans" w:cs="Open Sans"/>
                <w:b/>
                <w:bCs/>
                <w:sz w:val="16"/>
                <w:szCs w:val="16"/>
              </w:rPr>
            </w:pPr>
            <w:r w:rsidRPr="00FF08CC">
              <w:rPr>
                <w:rFonts w:ascii="Open Sans" w:hAnsi="Open Sans" w:cs="Open Sans"/>
                <w:b/>
                <w:bCs/>
                <w:sz w:val="16"/>
                <w:szCs w:val="16"/>
              </w:rPr>
              <w:t>                                                                                                                                                                     </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F08CC" w:rsidRPr="00FF08CC" w:rsidRDefault="00FF08CC">
            <w:pPr>
              <w:pStyle w:val="NoSpacing"/>
              <w:rPr>
                <w:rFonts w:ascii="Open Sans" w:hAnsi="Open Sans" w:cs="Open Sans"/>
                <w:sz w:val="16"/>
                <w:szCs w:val="16"/>
              </w:rPr>
            </w:pPr>
            <w:r w:rsidRPr="00FF08CC">
              <w:rPr>
                <w:rFonts w:ascii="Open Sans" w:hAnsi="Open Sans" w:cs="Open Sans"/>
                <w:sz w:val="16"/>
                <w:szCs w:val="16"/>
              </w:rPr>
              <w:t>Individual supervision</w:t>
            </w:r>
          </w:p>
        </w:tc>
      </w:tr>
    </w:tbl>
    <w:p w:rsidR="00FF08CC" w:rsidRDefault="00FF08CC"/>
    <w:sectPr w:rsidR="00FF0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CC"/>
    <w:rsid w:val="0012782F"/>
    <w:rsid w:val="00FF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C6BD-925E-43B5-BA39-5E9D0E53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F08C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27503">
      <w:bodyDiv w:val="1"/>
      <w:marLeft w:val="0"/>
      <w:marRight w:val="0"/>
      <w:marTop w:val="0"/>
      <w:marBottom w:val="0"/>
      <w:divBdr>
        <w:top w:val="none" w:sz="0" w:space="0" w:color="auto"/>
        <w:left w:val="none" w:sz="0" w:space="0" w:color="auto"/>
        <w:bottom w:val="none" w:sz="0" w:space="0" w:color="auto"/>
        <w:right w:val="none" w:sz="0" w:space="0" w:color="auto"/>
      </w:divBdr>
    </w:div>
    <w:div w:id="13143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Shears</dc:creator>
  <cp:keywords/>
  <dc:description/>
  <cp:lastModifiedBy>Emily Shears</cp:lastModifiedBy>
  <cp:revision>1</cp:revision>
  <dcterms:created xsi:type="dcterms:W3CDTF">2017-06-29T09:50:00Z</dcterms:created>
  <dcterms:modified xsi:type="dcterms:W3CDTF">2017-06-29T09:57:00Z</dcterms:modified>
</cp:coreProperties>
</file>