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5B" w:rsidRPr="004C2469" w:rsidRDefault="004C2469" w:rsidP="00E2515B">
      <w:pPr>
        <w:pStyle w:val="Title"/>
        <w:rPr>
          <w:rFonts w:ascii="Verdana" w:hAnsi="Verdana"/>
          <w:sz w:val="48"/>
        </w:rPr>
      </w:pPr>
      <w:r>
        <w:rPr>
          <w:rFonts w:ascii="Verdana" w:hAnsi="Verdana"/>
          <w:sz w:val="48"/>
        </w:rPr>
        <w:t>Practical Guidance for the Creation and Use of M</w:t>
      </w:r>
      <w:r w:rsidR="001B2AB9" w:rsidRPr="004C2469">
        <w:rPr>
          <w:rFonts w:ascii="Verdana" w:hAnsi="Verdana"/>
          <w:sz w:val="48"/>
        </w:rPr>
        <w:t xml:space="preserve">ultiple </w:t>
      </w:r>
      <w:r>
        <w:rPr>
          <w:rFonts w:ascii="Verdana" w:hAnsi="Verdana"/>
          <w:sz w:val="48"/>
        </w:rPr>
        <w:t>Sub-component Assessments</w:t>
      </w:r>
    </w:p>
    <w:p w:rsidR="00E47B61" w:rsidRPr="004C2469" w:rsidRDefault="001B2AB9" w:rsidP="00F653A6">
      <w:pPr>
        <w:pStyle w:val="Subtitle"/>
        <w:rPr>
          <w:rStyle w:val="SubtitleChar"/>
          <w:rFonts w:ascii="Verdana" w:hAnsi="Verdana"/>
        </w:rPr>
      </w:pPr>
      <w:r w:rsidRPr="004C2469">
        <w:rPr>
          <w:rStyle w:val="SubtitleChar"/>
          <w:rFonts w:ascii="Verdana" w:hAnsi="Verdana"/>
        </w:rPr>
        <w:t>(also known as portfolio assessments)</w:t>
      </w:r>
    </w:p>
    <w:p w:rsidR="00F653A6" w:rsidRPr="004C2469" w:rsidRDefault="00F653A6" w:rsidP="00F653A6">
      <w:pPr>
        <w:rPr>
          <w:rFonts w:ascii="Verdana" w:hAnsi="Verdana"/>
        </w:rPr>
      </w:pPr>
    </w:p>
    <w:sdt>
      <w:sdtPr>
        <w:rPr>
          <w:rFonts w:ascii="Verdana" w:eastAsiaTheme="minorHAnsi" w:hAnsi="Verdana" w:cstheme="minorBidi"/>
          <w:color w:val="auto"/>
          <w:sz w:val="22"/>
          <w:szCs w:val="22"/>
          <w:lang w:val="en-GB"/>
        </w:rPr>
        <w:id w:val="22987189"/>
        <w:docPartObj>
          <w:docPartGallery w:val="Table of Contents"/>
          <w:docPartUnique/>
        </w:docPartObj>
      </w:sdtPr>
      <w:sdtEndPr>
        <w:rPr>
          <w:b/>
          <w:bCs/>
          <w:noProof/>
        </w:rPr>
      </w:sdtEndPr>
      <w:sdtContent>
        <w:p w:rsidR="00E47B61" w:rsidRPr="004C2469" w:rsidRDefault="00E47B61">
          <w:pPr>
            <w:pStyle w:val="TOCHeading"/>
            <w:rPr>
              <w:rFonts w:ascii="Verdana" w:hAnsi="Verdana"/>
            </w:rPr>
          </w:pPr>
          <w:r w:rsidRPr="004C2469">
            <w:rPr>
              <w:rFonts w:ascii="Verdana" w:hAnsi="Verdana"/>
            </w:rPr>
            <w:t>Contents</w:t>
          </w:r>
        </w:p>
        <w:p w:rsidR="00055205" w:rsidRDefault="00E47B61">
          <w:pPr>
            <w:pStyle w:val="TOC1"/>
            <w:tabs>
              <w:tab w:val="right" w:leader="dot" w:pos="9016"/>
            </w:tabs>
            <w:rPr>
              <w:rFonts w:eastAsiaTheme="minorEastAsia"/>
              <w:noProof/>
              <w:lang w:eastAsia="en-GB"/>
            </w:rPr>
          </w:pPr>
          <w:r w:rsidRPr="004C2469">
            <w:rPr>
              <w:rFonts w:ascii="Verdana" w:hAnsi="Verdana"/>
            </w:rPr>
            <w:fldChar w:fldCharType="begin"/>
          </w:r>
          <w:r w:rsidRPr="004C2469">
            <w:rPr>
              <w:rFonts w:ascii="Verdana" w:hAnsi="Verdana"/>
            </w:rPr>
            <w:instrText xml:space="preserve"> TOC \o "1-3" \h \z \u </w:instrText>
          </w:r>
          <w:r w:rsidRPr="004C2469">
            <w:rPr>
              <w:rFonts w:ascii="Verdana" w:hAnsi="Verdana"/>
            </w:rPr>
            <w:fldChar w:fldCharType="separate"/>
          </w:r>
          <w:hyperlink w:anchor="_Toc492972294" w:history="1">
            <w:r w:rsidR="00055205" w:rsidRPr="00772C02">
              <w:rPr>
                <w:rStyle w:val="Hyperlink"/>
                <w:rFonts w:ascii="Verdana" w:hAnsi="Verdana"/>
                <w:noProof/>
              </w:rPr>
              <w:t>Introduction</w:t>
            </w:r>
            <w:r w:rsidR="00055205">
              <w:rPr>
                <w:noProof/>
                <w:webHidden/>
              </w:rPr>
              <w:tab/>
            </w:r>
            <w:r w:rsidR="00055205">
              <w:rPr>
                <w:noProof/>
                <w:webHidden/>
              </w:rPr>
              <w:fldChar w:fldCharType="begin"/>
            </w:r>
            <w:r w:rsidR="00055205">
              <w:rPr>
                <w:noProof/>
                <w:webHidden/>
              </w:rPr>
              <w:instrText xml:space="preserve"> PAGEREF _Toc492972294 \h </w:instrText>
            </w:r>
            <w:r w:rsidR="00055205">
              <w:rPr>
                <w:noProof/>
                <w:webHidden/>
              </w:rPr>
            </w:r>
            <w:r w:rsidR="00055205">
              <w:rPr>
                <w:noProof/>
                <w:webHidden/>
              </w:rPr>
              <w:fldChar w:fldCharType="separate"/>
            </w:r>
            <w:r w:rsidR="00055205">
              <w:rPr>
                <w:noProof/>
                <w:webHidden/>
              </w:rPr>
              <w:t>2</w:t>
            </w:r>
            <w:r w:rsidR="00055205">
              <w:rPr>
                <w:noProof/>
                <w:webHidden/>
              </w:rPr>
              <w:fldChar w:fldCharType="end"/>
            </w:r>
          </w:hyperlink>
        </w:p>
        <w:p w:rsidR="00055205" w:rsidRDefault="00055205">
          <w:pPr>
            <w:pStyle w:val="TOC1"/>
            <w:tabs>
              <w:tab w:val="right" w:leader="dot" w:pos="9016"/>
            </w:tabs>
            <w:rPr>
              <w:rFonts w:eastAsiaTheme="minorEastAsia"/>
              <w:noProof/>
              <w:lang w:eastAsia="en-GB"/>
            </w:rPr>
          </w:pPr>
          <w:hyperlink w:anchor="_Toc492972295" w:history="1">
            <w:r w:rsidRPr="00772C02">
              <w:rPr>
                <w:rStyle w:val="Hyperlink"/>
                <w:rFonts w:ascii="Verdana" w:hAnsi="Verdana"/>
                <w:noProof/>
              </w:rPr>
              <w:t>Combining letter grades</w:t>
            </w:r>
            <w:r>
              <w:rPr>
                <w:noProof/>
                <w:webHidden/>
              </w:rPr>
              <w:tab/>
            </w:r>
            <w:r>
              <w:rPr>
                <w:noProof/>
                <w:webHidden/>
              </w:rPr>
              <w:fldChar w:fldCharType="begin"/>
            </w:r>
            <w:r>
              <w:rPr>
                <w:noProof/>
                <w:webHidden/>
              </w:rPr>
              <w:instrText xml:space="preserve"> PAGEREF _Toc492972295 \h </w:instrText>
            </w:r>
            <w:r>
              <w:rPr>
                <w:noProof/>
                <w:webHidden/>
              </w:rPr>
            </w:r>
            <w:r>
              <w:rPr>
                <w:noProof/>
                <w:webHidden/>
              </w:rPr>
              <w:fldChar w:fldCharType="separate"/>
            </w:r>
            <w:r>
              <w:rPr>
                <w:noProof/>
                <w:webHidden/>
              </w:rPr>
              <w:t>2</w:t>
            </w:r>
            <w:r>
              <w:rPr>
                <w:noProof/>
                <w:webHidden/>
              </w:rPr>
              <w:fldChar w:fldCharType="end"/>
            </w:r>
          </w:hyperlink>
        </w:p>
        <w:p w:rsidR="00055205" w:rsidRDefault="00055205">
          <w:pPr>
            <w:pStyle w:val="TOC1"/>
            <w:tabs>
              <w:tab w:val="right" w:leader="dot" w:pos="9016"/>
            </w:tabs>
            <w:rPr>
              <w:rFonts w:eastAsiaTheme="minorEastAsia"/>
              <w:noProof/>
              <w:lang w:eastAsia="en-GB"/>
            </w:rPr>
          </w:pPr>
          <w:hyperlink w:anchor="_Toc492972296" w:history="1">
            <w:r w:rsidRPr="00772C02">
              <w:rPr>
                <w:rStyle w:val="Hyperlink"/>
                <w:rFonts w:ascii="Verdana" w:hAnsi="Verdana"/>
                <w:noProof/>
              </w:rPr>
              <w:t>Part 1: Multiple Sub-component Assessments (MSA) marked by hand</w:t>
            </w:r>
            <w:r>
              <w:rPr>
                <w:noProof/>
                <w:webHidden/>
              </w:rPr>
              <w:tab/>
            </w:r>
            <w:r>
              <w:rPr>
                <w:noProof/>
                <w:webHidden/>
              </w:rPr>
              <w:fldChar w:fldCharType="begin"/>
            </w:r>
            <w:r>
              <w:rPr>
                <w:noProof/>
                <w:webHidden/>
              </w:rPr>
              <w:instrText xml:space="preserve"> PAGEREF _Toc492972296 \h </w:instrText>
            </w:r>
            <w:r>
              <w:rPr>
                <w:noProof/>
                <w:webHidden/>
              </w:rPr>
            </w:r>
            <w:r>
              <w:rPr>
                <w:noProof/>
                <w:webHidden/>
              </w:rPr>
              <w:fldChar w:fldCharType="separate"/>
            </w:r>
            <w:r>
              <w:rPr>
                <w:noProof/>
                <w:webHidden/>
              </w:rPr>
              <w:t>2</w:t>
            </w:r>
            <w:r>
              <w:rPr>
                <w:noProof/>
                <w:webHidden/>
              </w:rPr>
              <w:fldChar w:fldCharType="end"/>
            </w:r>
          </w:hyperlink>
        </w:p>
        <w:p w:rsidR="00055205" w:rsidRDefault="00055205">
          <w:pPr>
            <w:pStyle w:val="TOC2"/>
            <w:tabs>
              <w:tab w:val="left" w:pos="1100"/>
              <w:tab w:val="right" w:leader="dot" w:pos="9016"/>
            </w:tabs>
            <w:rPr>
              <w:rFonts w:eastAsiaTheme="minorEastAsia"/>
              <w:noProof/>
              <w:lang w:eastAsia="en-GB"/>
            </w:rPr>
          </w:pPr>
          <w:hyperlink w:anchor="_Toc492972297" w:history="1">
            <w:r w:rsidRPr="00772C02">
              <w:rPr>
                <w:rStyle w:val="Hyperlink"/>
                <w:rFonts w:ascii="Verdana" w:hAnsi="Verdana"/>
                <w:noProof/>
              </w:rPr>
              <w:t>1.1.</w:t>
            </w:r>
            <w:r>
              <w:rPr>
                <w:rFonts w:eastAsiaTheme="minorEastAsia"/>
                <w:noProof/>
                <w:lang w:eastAsia="en-GB"/>
              </w:rPr>
              <w:tab/>
            </w:r>
            <w:r w:rsidRPr="00772C02">
              <w:rPr>
                <w:rStyle w:val="Hyperlink"/>
                <w:rFonts w:ascii="Verdana" w:hAnsi="Verdana"/>
                <w:noProof/>
              </w:rPr>
              <w:t>Basic requirements of an MSA marked by hand</w:t>
            </w:r>
            <w:r>
              <w:rPr>
                <w:noProof/>
                <w:webHidden/>
              </w:rPr>
              <w:tab/>
            </w:r>
            <w:r>
              <w:rPr>
                <w:noProof/>
                <w:webHidden/>
              </w:rPr>
              <w:fldChar w:fldCharType="begin"/>
            </w:r>
            <w:r>
              <w:rPr>
                <w:noProof/>
                <w:webHidden/>
              </w:rPr>
              <w:instrText xml:space="preserve"> PAGEREF _Toc492972297 \h </w:instrText>
            </w:r>
            <w:r>
              <w:rPr>
                <w:noProof/>
                <w:webHidden/>
              </w:rPr>
            </w:r>
            <w:r>
              <w:rPr>
                <w:noProof/>
                <w:webHidden/>
              </w:rPr>
              <w:fldChar w:fldCharType="separate"/>
            </w:r>
            <w:r>
              <w:rPr>
                <w:noProof/>
                <w:webHidden/>
              </w:rPr>
              <w:t>2</w:t>
            </w:r>
            <w:r>
              <w:rPr>
                <w:noProof/>
                <w:webHidden/>
              </w:rPr>
              <w:fldChar w:fldCharType="end"/>
            </w:r>
          </w:hyperlink>
        </w:p>
        <w:p w:rsidR="00055205" w:rsidRDefault="00055205">
          <w:pPr>
            <w:pStyle w:val="TOC2"/>
            <w:tabs>
              <w:tab w:val="left" w:pos="1100"/>
              <w:tab w:val="right" w:leader="dot" w:pos="9016"/>
            </w:tabs>
            <w:rPr>
              <w:rFonts w:eastAsiaTheme="minorEastAsia"/>
              <w:noProof/>
              <w:lang w:eastAsia="en-GB"/>
            </w:rPr>
          </w:pPr>
          <w:hyperlink w:anchor="_Toc492972298" w:history="1">
            <w:r w:rsidRPr="00772C02">
              <w:rPr>
                <w:rStyle w:val="Hyperlink"/>
                <w:rFonts w:ascii="Verdana" w:hAnsi="Verdana"/>
                <w:noProof/>
              </w:rPr>
              <w:t>1.2.</w:t>
            </w:r>
            <w:r>
              <w:rPr>
                <w:rFonts w:eastAsiaTheme="minorEastAsia"/>
                <w:noProof/>
                <w:lang w:eastAsia="en-GB"/>
              </w:rPr>
              <w:tab/>
            </w:r>
            <w:r w:rsidRPr="00772C02">
              <w:rPr>
                <w:rStyle w:val="Hyperlink"/>
                <w:rFonts w:ascii="Verdana" w:hAnsi="Verdana"/>
                <w:noProof/>
              </w:rPr>
              <w:t>Assessing the individual items within an MSA</w:t>
            </w:r>
            <w:r>
              <w:rPr>
                <w:noProof/>
                <w:webHidden/>
              </w:rPr>
              <w:tab/>
            </w:r>
            <w:r>
              <w:rPr>
                <w:noProof/>
                <w:webHidden/>
              </w:rPr>
              <w:fldChar w:fldCharType="begin"/>
            </w:r>
            <w:r>
              <w:rPr>
                <w:noProof/>
                <w:webHidden/>
              </w:rPr>
              <w:instrText xml:space="preserve"> PAGEREF _Toc492972298 \h </w:instrText>
            </w:r>
            <w:r>
              <w:rPr>
                <w:noProof/>
                <w:webHidden/>
              </w:rPr>
            </w:r>
            <w:r>
              <w:rPr>
                <w:noProof/>
                <w:webHidden/>
              </w:rPr>
              <w:fldChar w:fldCharType="separate"/>
            </w:r>
            <w:r>
              <w:rPr>
                <w:noProof/>
                <w:webHidden/>
              </w:rPr>
              <w:t>3</w:t>
            </w:r>
            <w:r>
              <w:rPr>
                <w:noProof/>
                <w:webHidden/>
              </w:rPr>
              <w:fldChar w:fldCharType="end"/>
            </w:r>
          </w:hyperlink>
        </w:p>
        <w:p w:rsidR="00055205" w:rsidRDefault="00055205">
          <w:pPr>
            <w:pStyle w:val="TOC2"/>
            <w:tabs>
              <w:tab w:val="left" w:pos="1100"/>
              <w:tab w:val="right" w:leader="dot" w:pos="9016"/>
            </w:tabs>
            <w:rPr>
              <w:rFonts w:eastAsiaTheme="minorEastAsia"/>
              <w:noProof/>
              <w:lang w:eastAsia="en-GB"/>
            </w:rPr>
          </w:pPr>
          <w:hyperlink w:anchor="_Toc492972299" w:history="1">
            <w:r w:rsidRPr="00772C02">
              <w:rPr>
                <w:rStyle w:val="Hyperlink"/>
                <w:rFonts w:ascii="Verdana" w:hAnsi="Verdana"/>
                <w:noProof/>
              </w:rPr>
              <w:t>1.3.</w:t>
            </w:r>
            <w:r>
              <w:rPr>
                <w:rFonts w:eastAsiaTheme="minorEastAsia"/>
                <w:noProof/>
                <w:lang w:eastAsia="en-GB"/>
              </w:rPr>
              <w:tab/>
            </w:r>
            <w:r w:rsidRPr="00772C02">
              <w:rPr>
                <w:rStyle w:val="Hyperlink"/>
                <w:rFonts w:ascii="Verdana" w:hAnsi="Verdana"/>
                <w:noProof/>
              </w:rPr>
              <w:t>Understanding how to set-up and use rubrics in NILE to mark MSAs</w:t>
            </w:r>
            <w:r>
              <w:rPr>
                <w:noProof/>
                <w:webHidden/>
              </w:rPr>
              <w:tab/>
            </w:r>
            <w:r>
              <w:rPr>
                <w:noProof/>
                <w:webHidden/>
              </w:rPr>
              <w:fldChar w:fldCharType="begin"/>
            </w:r>
            <w:r>
              <w:rPr>
                <w:noProof/>
                <w:webHidden/>
              </w:rPr>
              <w:instrText xml:space="preserve"> PAGEREF _Toc492972299 \h </w:instrText>
            </w:r>
            <w:r>
              <w:rPr>
                <w:noProof/>
                <w:webHidden/>
              </w:rPr>
            </w:r>
            <w:r>
              <w:rPr>
                <w:noProof/>
                <w:webHidden/>
              </w:rPr>
              <w:fldChar w:fldCharType="separate"/>
            </w:r>
            <w:r>
              <w:rPr>
                <w:noProof/>
                <w:webHidden/>
              </w:rPr>
              <w:t>4</w:t>
            </w:r>
            <w:r>
              <w:rPr>
                <w:noProof/>
                <w:webHidden/>
              </w:rPr>
              <w:fldChar w:fldCharType="end"/>
            </w:r>
          </w:hyperlink>
        </w:p>
        <w:p w:rsidR="00055205" w:rsidRDefault="00055205">
          <w:pPr>
            <w:pStyle w:val="TOC1"/>
            <w:tabs>
              <w:tab w:val="right" w:leader="dot" w:pos="9016"/>
            </w:tabs>
            <w:rPr>
              <w:rFonts w:eastAsiaTheme="minorEastAsia"/>
              <w:noProof/>
              <w:lang w:eastAsia="en-GB"/>
            </w:rPr>
          </w:pPr>
          <w:hyperlink w:anchor="_Toc492972300" w:history="1">
            <w:r w:rsidRPr="00772C02">
              <w:rPr>
                <w:rStyle w:val="Hyperlink"/>
                <w:rFonts w:ascii="Verdana" w:hAnsi="Verdana"/>
                <w:noProof/>
              </w:rPr>
              <w:t>Part 2: Multiple Sub-component Assessments that are Computer Marked</w:t>
            </w:r>
            <w:r>
              <w:rPr>
                <w:noProof/>
                <w:webHidden/>
              </w:rPr>
              <w:tab/>
            </w:r>
            <w:r>
              <w:rPr>
                <w:noProof/>
                <w:webHidden/>
              </w:rPr>
              <w:fldChar w:fldCharType="begin"/>
            </w:r>
            <w:r>
              <w:rPr>
                <w:noProof/>
                <w:webHidden/>
              </w:rPr>
              <w:instrText xml:space="preserve"> PAGEREF _Toc492972300 \h </w:instrText>
            </w:r>
            <w:r>
              <w:rPr>
                <w:noProof/>
                <w:webHidden/>
              </w:rPr>
            </w:r>
            <w:r>
              <w:rPr>
                <w:noProof/>
                <w:webHidden/>
              </w:rPr>
              <w:fldChar w:fldCharType="separate"/>
            </w:r>
            <w:r>
              <w:rPr>
                <w:noProof/>
                <w:webHidden/>
              </w:rPr>
              <w:t>4</w:t>
            </w:r>
            <w:r>
              <w:rPr>
                <w:noProof/>
                <w:webHidden/>
              </w:rPr>
              <w:fldChar w:fldCharType="end"/>
            </w:r>
          </w:hyperlink>
        </w:p>
        <w:p w:rsidR="00055205" w:rsidRDefault="00055205">
          <w:pPr>
            <w:pStyle w:val="TOC2"/>
            <w:tabs>
              <w:tab w:val="left" w:pos="1100"/>
              <w:tab w:val="right" w:leader="dot" w:pos="9016"/>
            </w:tabs>
            <w:rPr>
              <w:rFonts w:eastAsiaTheme="minorEastAsia"/>
              <w:noProof/>
              <w:lang w:eastAsia="en-GB"/>
            </w:rPr>
          </w:pPr>
          <w:hyperlink w:anchor="_Toc492972303" w:history="1">
            <w:r w:rsidRPr="00772C02">
              <w:rPr>
                <w:rStyle w:val="Hyperlink"/>
                <w:rFonts w:ascii="Verdana" w:hAnsi="Verdana"/>
                <w:noProof/>
              </w:rPr>
              <w:t>2.1.</w:t>
            </w:r>
            <w:r>
              <w:rPr>
                <w:rFonts w:eastAsiaTheme="minorEastAsia"/>
                <w:noProof/>
                <w:lang w:eastAsia="en-GB"/>
              </w:rPr>
              <w:tab/>
            </w:r>
            <w:r w:rsidRPr="00772C02">
              <w:rPr>
                <w:rStyle w:val="Hyperlink"/>
                <w:rFonts w:ascii="Verdana" w:hAnsi="Verdana"/>
                <w:noProof/>
              </w:rPr>
              <w:t>Basic principles</w:t>
            </w:r>
            <w:r>
              <w:rPr>
                <w:noProof/>
                <w:webHidden/>
              </w:rPr>
              <w:tab/>
            </w:r>
            <w:r>
              <w:rPr>
                <w:noProof/>
                <w:webHidden/>
              </w:rPr>
              <w:fldChar w:fldCharType="begin"/>
            </w:r>
            <w:r>
              <w:rPr>
                <w:noProof/>
                <w:webHidden/>
              </w:rPr>
              <w:instrText xml:space="preserve"> PAGEREF _Toc492972303 \h </w:instrText>
            </w:r>
            <w:r>
              <w:rPr>
                <w:noProof/>
                <w:webHidden/>
              </w:rPr>
            </w:r>
            <w:r>
              <w:rPr>
                <w:noProof/>
                <w:webHidden/>
              </w:rPr>
              <w:fldChar w:fldCharType="separate"/>
            </w:r>
            <w:r>
              <w:rPr>
                <w:noProof/>
                <w:webHidden/>
              </w:rPr>
              <w:t>4</w:t>
            </w:r>
            <w:r>
              <w:rPr>
                <w:noProof/>
                <w:webHidden/>
              </w:rPr>
              <w:fldChar w:fldCharType="end"/>
            </w:r>
          </w:hyperlink>
        </w:p>
        <w:p w:rsidR="00055205" w:rsidRDefault="00055205">
          <w:pPr>
            <w:pStyle w:val="TOC1"/>
            <w:tabs>
              <w:tab w:val="right" w:leader="dot" w:pos="9016"/>
            </w:tabs>
            <w:rPr>
              <w:rFonts w:eastAsiaTheme="minorEastAsia"/>
              <w:noProof/>
              <w:lang w:eastAsia="en-GB"/>
            </w:rPr>
          </w:pPr>
          <w:hyperlink w:anchor="_Toc492972304" w:history="1">
            <w:r w:rsidRPr="00772C02">
              <w:rPr>
                <w:rStyle w:val="Hyperlink"/>
                <w:rFonts w:ascii="Verdana" w:hAnsi="Verdana"/>
                <w:noProof/>
              </w:rPr>
              <w:t>Part 3. Managing Extensions, Resits and Mitigating Circumstances for Multiple Sub-component Assessments</w:t>
            </w:r>
            <w:r>
              <w:rPr>
                <w:noProof/>
                <w:webHidden/>
              </w:rPr>
              <w:tab/>
            </w:r>
            <w:r>
              <w:rPr>
                <w:noProof/>
                <w:webHidden/>
              </w:rPr>
              <w:fldChar w:fldCharType="begin"/>
            </w:r>
            <w:r>
              <w:rPr>
                <w:noProof/>
                <w:webHidden/>
              </w:rPr>
              <w:instrText xml:space="preserve"> PAGEREF _Toc492972304 \h </w:instrText>
            </w:r>
            <w:r>
              <w:rPr>
                <w:noProof/>
                <w:webHidden/>
              </w:rPr>
            </w:r>
            <w:r>
              <w:rPr>
                <w:noProof/>
                <w:webHidden/>
              </w:rPr>
              <w:fldChar w:fldCharType="separate"/>
            </w:r>
            <w:r>
              <w:rPr>
                <w:noProof/>
                <w:webHidden/>
              </w:rPr>
              <w:t>5</w:t>
            </w:r>
            <w:r>
              <w:rPr>
                <w:noProof/>
                <w:webHidden/>
              </w:rPr>
              <w:fldChar w:fldCharType="end"/>
            </w:r>
          </w:hyperlink>
        </w:p>
        <w:p w:rsidR="00E47B61" w:rsidRPr="004C2469" w:rsidRDefault="00E47B61" w:rsidP="00E47B61">
          <w:pPr>
            <w:rPr>
              <w:rFonts w:ascii="Verdana" w:hAnsi="Verdana"/>
              <w:b/>
              <w:bCs/>
              <w:noProof/>
            </w:rPr>
          </w:pPr>
          <w:r w:rsidRPr="004C2469">
            <w:rPr>
              <w:rFonts w:ascii="Verdana" w:hAnsi="Verdana"/>
              <w:b/>
              <w:bCs/>
              <w:noProof/>
            </w:rPr>
            <w:fldChar w:fldCharType="end"/>
          </w:r>
        </w:p>
        <w:bookmarkStart w:id="0" w:name="_GoBack" w:displacedByCustomXml="next"/>
        <w:bookmarkEnd w:id="0" w:displacedByCustomXml="next"/>
      </w:sdtContent>
    </w:sdt>
    <w:p w:rsidR="004C2469" w:rsidRDefault="004C2469">
      <w:pPr>
        <w:rPr>
          <w:rFonts w:ascii="Verdana" w:eastAsiaTheme="majorEastAsia" w:hAnsi="Verdana" w:cstheme="majorBidi"/>
          <w:b/>
          <w:bCs/>
          <w:color w:val="365F91" w:themeColor="accent1" w:themeShade="BF"/>
          <w:sz w:val="28"/>
          <w:szCs w:val="28"/>
        </w:rPr>
      </w:pPr>
      <w:r>
        <w:rPr>
          <w:rFonts w:ascii="Verdana" w:hAnsi="Verdana"/>
        </w:rPr>
        <w:br w:type="page"/>
      </w:r>
    </w:p>
    <w:p w:rsidR="001B2AB9" w:rsidRPr="004C2469" w:rsidRDefault="00D307BB" w:rsidP="00D307BB">
      <w:pPr>
        <w:pStyle w:val="Heading1"/>
        <w:rPr>
          <w:rFonts w:ascii="Verdana" w:hAnsi="Verdana"/>
        </w:rPr>
      </w:pPr>
      <w:bookmarkStart w:id="1" w:name="_Toc492972294"/>
      <w:r w:rsidRPr="004C2469">
        <w:rPr>
          <w:rFonts w:ascii="Verdana" w:hAnsi="Verdana"/>
        </w:rPr>
        <w:lastRenderedPageBreak/>
        <w:t>Introduction</w:t>
      </w:r>
      <w:bookmarkEnd w:id="1"/>
    </w:p>
    <w:p w:rsidR="00242261" w:rsidRPr="004C2469" w:rsidRDefault="00242261" w:rsidP="001B2AB9">
      <w:pPr>
        <w:rPr>
          <w:rFonts w:ascii="Verdana" w:hAnsi="Verdana"/>
        </w:rPr>
      </w:pPr>
      <w:r w:rsidRPr="004C2469">
        <w:rPr>
          <w:rFonts w:ascii="Verdana" w:hAnsi="Verdana"/>
        </w:rPr>
        <w:t xml:space="preserve">The guidance in this document is divided into two parts: </w:t>
      </w:r>
    </w:p>
    <w:p w:rsidR="00242261" w:rsidRPr="004C2469" w:rsidRDefault="00242261" w:rsidP="00242261">
      <w:pPr>
        <w:ind w:firstLine="720"/>
        <w:rPr>
          <w:rFonts w:ascii="Verdana" w:hAnsi="Verdana"/>
        </w:rPr>
      </w:pPr>
      <w:r w:rsidRPr="004C2469">
        <w:rPr>
          <w:rFonts w:ascii="Verdana" w:hAnsi="Verdana"/>
        </w:rPr>
        <w:t>(1) Multiple sub-component assessments</w:t>
      </w:r>
      <w:r w:rsidR="00F653A6" w:rsidRPr="004C2469">
        <w:rPr>
          <w:rFonts w:ascii="Verdana" w:hAnsi="Verdana"/>
        </w:rPr>
        <w:t xml:space="preserve"> (MSA)</w:t>
      </w:r>
      <w:r w:rsidRPr="004C2469">
        <w:rPr>
          <w:rFonts w:ascii="Verdana" w:hAnsi="Verdana"/>
        </w:rPr>
        <w:t xml:space="preserve"> that are marked by hand; and </w:t>
      </w:r>
    </w:p>
    <w:p w:rsidR="00242261" w:rsidRPr="004C2469" w:rsidRDefault="004160D0" w:rsidP="00242261">
      <w:pPr>
        <w:ind w:left="720"/>
        <w:rPr>
          <w:rFonts w:ascii="Verdana" w:hAnsi="Verdana"/>
        </w:rPr>
      </w:pPr>
      <w:r w:rsidRPr="004C2469">
        <w:rPr>
          <w:rFonts w:ascii="Verdana" w:hAnsi="Verdana"/>
        </w:rPr>
        <w:t>(2) M</w:t>
      </w:r>
      <w:r w:rsidR="00242261" w:rsidRPr="004C2469">
        <w:rPr>
          <w:rFonts w:ascii="Verdana" w:hAnsi="Verdana"/>
        </w:rPr>
        <w:t>ultiple sub-component assessments</w:t>
      </w:r>
      <w:r w:rsidR="00F653A6" w:rsidRPr="004C2469">
        <w:rPr>
          <w:rFonts w:ascii="Verdana" w:hAnsi="Verdana"/>
        </w:rPr>
        <w:t xml:space="preserve"> (MSA)</w:t>
      </w:r>
      <w:r w:rsidR="00242261" w:rsidRPr="004C2469">
        <w:rPr>
          <w:rFonts w:ascii="Verdana" w:hAnsi="Verdana"/>
        </w:rPr>
        <w:t xml:space="preserve"> that are computer marked (e.g. online multiple choice tests</w:t>
      </w:r>
      <w:r w:rsidR="00C12396" w:rsidRPr="004C2469">
        <w:rPr>
          <w:rFonts w:ascii="Verdana" w:hAnsi="Verdana"/>
        </w:rPr>
        <w:t xml:space="preserve"> that combine to form 1 assessment</w:t>
      </w:r>
      <w:r w:rsidR="00242261" w:rsidRPr="004C2469">
        <w:rPr>
          <w:rFonts w:ascii="Verdana" w:hAnsi="Verdana"/>
        </w:rPr>
        <w:t>)</w:t>
      </w:r>
    </w:p>
    <w:p w:rsidR="004C2469" w:rsidRPr="004C2469" w:rsidRDefault="004C2469" w:rsidP="004C2469">
      <w:pPr>
        <w:rPr>
          <w:rFonts w:ascii="Verdana" w:hAnsi="Verdana"/>
          <w:b/>
        </w:rPr>
      </w:pPr>
      <w:r w:rsidRPr="004C2469">
        <w:rPr>
          <w:rFonts w:ascii="Verdana" w:hAnsi="Verdana"/>
          <w:b/>
        </w:rPr>
        <w:t>Any member of academic staff seeking to use a Multiple Sub-Component Assessment as part of their module assessment strategy is advised to familiarise themselves with the relevant sections of the current Assessment and Feedback Policy, particularly in respect of managing Resits, Extensions and Mitigating Circumstances.</w:t>
      </w:r>
    </w:p>
    <w:p w:rsidR="00695FED" w:rsidRPr="004C2469" w:rsidRDefault="00695FED" w:rsidP="00D307BB">
      <w:pPr>
        <w:pStyle w:val="Heading1"/>
        <w:rPr>
          <w:rFonts w:ascii="Verdana" w:hAnsi="Verdana"/>
        </w:rPr>
      </w:pPr>
      <w:bookmarkStart w:id="2" w:name="_Toc492972295"/>
      <w:r w:rsidRPr="004C2469">
        <w:rPr>
          <w:rFonts w:ascii="Verdana" w:hAnsi="Verdana"/>
        </w:rPr>
        <w:t>Combining letter grades</w:t>
      </w:r>
      <w:bookmarkEnd w:id="2"/>
    </w:p>
    <w:p w:rsidR="001B2AB9" w:rsidRPr="004C2469" w:rsidRDefault="00B17BAD" w:rsidP="001B2AB9">
      <w:pPr>
        <w:rPr>
          <w:rFonts w:ascii="Verdana" w:hAnsi="Verdana"/>
        </w:rPr>
      </w:pPr>
      <w:r w:rsidRPr="004C2469">
        <w:rPr>
          <w:rFonts w:ascii="Verdana" w:hAnsi="Verdana"/>
        </w:rPr>
        <w:t>I</w:t>
      </w:r>
      <w:r w:rsidR="001B2AB9" w:rsidRPr="004C2469">
        <w:rPr>
          <w:rFonts w:ascii="Verdana" w:hAnsi="Verdana"/>
        </w:rPr>
        <w:t>ndividual items comprising the MSA should not be given</w:t>
      </w:r>
      <w:r w:rsidR="00E71734" w:rsidRPr="004C2469">
        <w:rPr>
          <w:rFonts w:ascii="Verdana" w:hAnsi="Verdana"/>
        </w:rPr>
        <w:t xml:space="preserve"> their own</w:t>
      </w:r>
      <w:r w:rsidR="001B2AB9" w:rsidRPr="004C2469">
        <w:rPr>
          <w:rFonts w:ascii="Verdana" w:hAnsi="Verdana"/>
        </w:rPr>
        <w:t xml:space="preserve"> letter grades. Letter grades should </w:t>
      </w:r>
      <w:r w:rsidR="00445B63" w:rsidRPr="004C2469">
        <w:rPr>
          <w:rFonts w:ascii="Verdana" w:hAnsi="Verdana"/>
        </w:rPr>
        <w:t xml:space="preserve">always </w:t>
      </w:r>
      <w:r w:rsidR="001B2AB9" w:rsidRPr="004C2469">
        <w:rPr>
          <w:rFonts w:ascii="Verdana" w:hAnsi="Verdana"/>
        </w:rPr>
        <w:t>be reserved for</w:t>
      </w:r>
      <w:r w:rsidR="00695FED" w:rsidRPr="004C2469">
        <w:rPr>
          <w:rFonts w:ascii="Verdana" w:hAnsi="Verdana"/>
        </w:rPr>
        <w:t>:</w:t>
      </w:r>
      <w:r w:rsidR="001B2AB9" w:rsidRPr="004C2469">
        <w:rPr>
          <w:rFonts w:ascii="Verdana" w:hAnsi="Verdana"/>
        </w:rPr>
        <w:t xml:space="preserve"> (1) </w:t>
      </w:r>
      <w:r w:rsidR="00445B63" w:rsidRPr="004C2469">
        <w:rPr>
          <w:rFonts w:ascii="Verdana" w:hAnsi="Verdana"/>
        </w:rPr>
        <w:t xml:space="preserve">officially recognised </w:t>
      </w:r>
      <w:r w:rsidR="001B2AB9" w:rsidRPr="004C2469">
        <w:rPr>
          <w:rFonts w:ascii="Verdana" w:hAnsi="Verdana"/>
        </w:rPr>
        <w:t xml:space="preserve">module </w:t>
      </w:r>
      <w:r w:rsidR="00445B63" w:rsidRPr="004C2469">
        <w:rPr>
          <w:rFonts w:ascii="Verdana" w:hAnsi="Verdana"/>
        </w:rPr>
        <w:t>assessment items (e.g., AS1, ES1)</w:t>
      </w:r>
      <w:r w:rsidR="00695FED" w:rsidRPr="004C2469">
        <w:rPr>
          <w:rFonts w:ascii="Verdana" w:hAnsi="Verdana"/>
        </w:rPr>
        <w:t>,</w:t>
      </w:r>
      <w:r w:rsidR="001B2AB9" w:rsidRPr="004C2469">
        <w:rPr>
          <w:rFonts w:ascii="Verdana" w:hAnsi="Verdana"/>
        </w:rPr>
        <w:t xml:space="preserve"> and</w:t>
      </w:r>
      <w:r w:rsidR="00695FED" w:rsidRPr="004C2469">
        <w:rPr>
          <w:rFonts w:ascii="Verdana" w:hAnsi="Verdana"/>
        </w:rPr>
        <w:t>;</w:t>
      </w:r>
      <w:r w:rsidR="001B2AB9" w:rsidRPr="004C2469">
        <w:rPr>
          <w:rFonts w:ascii="Verdana" w:hAnsi="Verdana"/>
        </w:rPr>
        <w:t xml:space="preserve"> (2) </w:t>
      </w:r>
      <w:r w:rsidR="00695FED" w:rsidRPr="004C2469">
        <w:rPr>
          <w:rFonts w:ascii="Verdana" w:hAnsi="Verdana"/>
        </w:rPr>
        <w:t xml:space="preserve">the </w:t>
      </w:r>
      <w:r w:rsidR="001B2AB9" w:rsidRPr="004C2469">
        <w:rPr>
          <w:rFonts w:ascii="Verdana" w:hAnsi="Verdana"/>
        </w:rPr>
        <w:t>overall</w:t>
      </w:r>
      <w:r w:rsidR="00695FED" w:rsidRPr="004C2469">
        <w:rPr>
          <w:rFonts w:ascii="Verdana" w:hAnsi="Verdana"/>
        </w:rPr>
        <w:t xml:space="preserve"> grade for the module</w:t>
      </w:r>
      <w:r w:rsidR="001B2AB9" w:rsidRPr="004C2469">
        <w:rPr>
          <w:rFonts w:ascii="Verdana" w:hAnsi="Verdana"/>
        </w:rPr>
        <w:t>.</w:t>
      </w:r>
    </w:p>
    <w:p w:rsidR="00D307BB" w:rsidRPr="004C2469" w:rsidRDefault="00D307BB" w:rsidP="00D307BB">
      <w:pPr>
        <w:pStyle w:val="Heading1"/>
        <w:rPr>
          <w:rFonts w:ascii="Verdana" w:hAnsi="Verdana"/>
        </w:rPr>
      </w:pPr>
      <w:bookmarkStart w:id="3" w:name="_Toc492972296"/>
      <w:r w:rsidRPr="004C2469">
        <w:rPr>
          <w:rFonts w:ascii="Verdana" w:hAnsi="Verdana"/>
        </w:rPr>
        <w:t xml:space="preserve">Part 1: </w:t>
      </w:r>
      <w:r w:rsidR="00F653A6" w:rsidRPr="004C2469">
        <w:rPr>
          <w:rFonts w:ascii="Verdana" w:hAnsi="Verdana"/>
        </w:rPr>
        <w:t>Multiple Sub-c</w:t>
      </w:r>
      <w:r w:rsidRPr="004C2469">
        <w:rPr>
          <w:rFonts w:ascii="Verdana" w:hAnsi="Verdana"/>
        </w:rPr>
        <w:t>omponent Assessments</w:t>
      </w:r>
      <w:r w:rsidR="00F653A6" w:rsidRPr="004C2469">
        <w:rPr>
          <w:rFonts w:ascii="Verdana" w:hAnsi="Verdana"/>
        </w:rPr>
        <w:t xml:space="preserve"> (MSA)</w:t>
      </w:r>
      <w:r w:rsidRPr="004C2469">
        <w:rPr>
          <w:rFonts w:ascii="Verdana" w:hAnsi="Verdana"/>
        </w:rPr>
        <w:t xml:space="preserve"> marked by hand</w:t>
      </w:r>
      <w:bookmarkEnd w:id="3"/>
    </w:p>
    <w:p w:rsidR="00F653A6" w:rsidRPr="004C2469" w:rsidRDefault="00C12396" w:rsidP="00C12396">
      <w:pPr>
        <w:pStyle w:val="Heading2"/>
        <w:numPr>
          <w:ilvl w:val="1"/>
          <w:numId w:val="5"/>
        </w:numPr>
        <w:rPr>
          <w:rFonts w:ascii="Verdana" w:hAnsi="Verdana"/>
        </w:rPr>
      </w:pPr>
      <w:r w:rsidRPr="004C2469">
        <w:rPr>
          <w:rFonts w:ascii="Verdana" w:hAnsi="Verdana"/>
        </w:rPr>
        <w:t xml:space="preserve"> </w:t>
      </w:r>
      <w:bookmarkStart w:id="4" w:name="_Toc492972297"/>
      <w:r w:rsidR="00F653A6" w:rsidRPr="004C2469">
        <w:rPr>
          <w:rFonts w:ascii="Verdana" w:hAnsi="Verdana"/>
        </w:rPr>
        <w:t>Basic requirements of an MSA marked by hand</w:t>
      </w:r>
      <w:bookmarkEnd w:id="4"/>
      <w:r w:rsidR="00F653A6" w:rsidRPr="004C2469">
        <w:rPr>
          <w:rFonts w:ascii="Verdana" w:hAnsi="Verdana"/>
        </w:rPr>
        <w:t xml:space="preserve"> </w:t>
      </w:r>
    </w:p>
    <w:p w:rsidR="00F653A6" w:rsidRPr="004C2469" w:rsidRDefault="00F653A6" w:rsidP="00F653A6">
      <w:pPr>
        <w:rPr>
          <w:rFonts w:ascii="Verdana" w:hAnsi="Verdana"/>
        </w:rPr>
      </w:pPr>
      <w:r w:rsidRPr="004C2469">
        <w:rPr>
          <w:rFonts w:ascii="Verdana" w:hAnsi="Verdana"/>
        </w:rPr>
        <w:t>There are three basic requirements of a hand marked MSA or portfolio assessment.</w:t>
      </w:r>
    </w:p>
    <w:p w:rsidR="00F653A6" w:rsidRPr="004C2469" w:rsidRDefault="00F653A6" w:rsidP="00F653A6">
      <w:pPr>
        <w:pStyle w:val="ListParagraph"/>
        <w:numPr>
          <w:ilvl w:val="0"/>
          <w:numId w:val="1"/>
        </w:numPr>
        <w:rPr>
          <w:rFonts w:ascii="Verdana" w:hAnsi="Verdana"/>
        </w:rPr>
      </w:pPr>
      <w:r w:rsidRPr="004C2469">
        <w:rPr>
          <w:rFonts w:ascii="Verdana" w:hAnsi="Verdana"/>
        </w:rPr>
        <w:t xml:space="preserve">That the student is submitting two or more </w:t>
      </w:r>
      <w:r w:rsidR="00546360" w:rsidRPr="004C2469">
        <w:rPr>
          <w:rFonts w:ascii="Verdana" w:hAnsi="Verdana"/>
        </w:rPr>
        <w:t xml:space="preserve">sub-components </w:t>
      </w:r>
      <w:r w:rsidRPr="004C2469">
        <w:rPr>
          <w:rFonts w:ascii="Verdana" w:hAnsi="Verdana"/>
        </w:rPr>
        <w:t>for assessment.</w:t>
      </w:r>
    </w:p>
    <w:p w:rsidR="00F653A6" w:rsidRPr="004C2469" w:rsidRDefault="00F653A6" w:rsidP="00F653A6">
      <w:pPr>
        <w:pStyle w:val="ListParagraph"/>
        <w:numPr>
          <w:ilvl w:val="0"/>
          <w:numId w:val="1"/>
        </w:numPr>
        <w:rPr>
          <w:rFonts w:ascii="Verdana" w:hAnsi="Verdana"/>
        </w:rPr>
      </w:pPr>
      <w:r w:rsidRPr="004C2469">
        <w:rPr>
          <w:rFonts w:ascii="Verdana" w:hAnsi="Verdana"/>
        </w:rPr>
        <w:t xml:space="preserve">That the items for assessment </w:t>
      </w:r>
      <w:r w:rsidR="004D6EF2" w:rsidRPr="004C2469">
        <w:rPr>
          <w:rFonts w:ascii="Verdana" w:hAnsi="Verdana"/>
        </w:rPr>
        <w:t>remain formative up until a final summative deadline is reached</w:t>
      </w:r>
      <w:r w:rsidR="00546360" w:rsidRPr="004C2469">
        <w:rPr>
          <w:rFonts w:ascii="Verdana" w:hAnsi="Verdana"/>
        </w:rPr>
        <w:t xml:space="preserve"> and that all multiple sub-component assessments have the same final summative deadline</w:t>
      </w:r>
      <w:r w:rsidR="004D6EF2" w:rsidRPr="004C2469">
        <w:rPr>
          <w:rFonts w:ascii="Verdana" w:hAnsi="Verdana"/>
        </w:rPr>
        <w:t>. Feedback can be provided on the individual items, but no mark provided.</w:t>
      </w:r>
    </w:p>
    <w:p w:rsidR="00F653A6" w:rsidRPr="004C2469" w:rsidRDefault="00F653A6" w:rsidP="00F653A6">
      <w:pPr>
        <w:pStyle w:val="ListParagraph"/>
        <w:numPr>
          <w:ilvl w:val="0"/>
          <w:numId w:val="1"/>
        </w:numPr>
        <w:rPr>
          <w:rFonts w:ascii="Verdana" w:hAnsi="Verdana"/>
        </w:rPr>
      </w:pPr>
      <w:r w:rsidRPr="004C2469">
        <w:rPr>
          <w:rFonts w:ascii="Verdana" w:hAnsi="Verdana"/>
        </w:rPr>
        <w:t xml:space="preserve">That the items for assessment will be receiving one overall </w:t>
      </w:r>
      <w:r w:rsidR="00C12396" w:rsidRPr="004C2469">
        <w:rPr>
          <w:rFonts w:ascii="Verdana" w:hAnsi="Verdana"/>
        </w:rPr>
        <w:t xml:space="preserve">letter </w:t>
      </w:r>
      <w:r w:rsidRPr="004C2469">
        <w:rPr>
          <w:rFonts w:ascii="Verdana" w:hAnsi="Verdana"/>
        </w:rPr>
        <w:t>grade.</w:t>
      </w:r>
    </w:p>
    <w:p w:rsidR="00F653A6" w:rsidRPr="004C2469" w:rsidRDefault="00F653A6" w:rsidP="00F653A6">
      <w:pPr>
        <w:rPr>
          <w:rFonts w:ascii="Verdana" w:hAnsi="Verdana"/>
        </w:rPr>
      </w:pPr>
      <w:r w:rsidRPr="004C2469">
        <w:rPr>
          <w:rFonts w:ascii="Verdana" w:hAnsi="Verdana"/>
        </w:rPr>
        <w:t xml:space="preserve">The items comprising the MSA may be weighted differently, and there may be different formative submission points for the </w:t>
      </w:r>
      <w:r w:rsidR="00C12396" w:rsidRPr="004C2469">
        <w:rPr>
          <w:rFonts w:ascii="Verdana" w:hAnsi="Verdana"/>
        </w:rPr>
        <w:t>various</w:t>
      </w:r>
      <w:r w:rsidRPr="004C2469">
        <w:rPr>
          <w:rFonts w:ascii="Verdana" w:hAnsi="Verdana"/>
        </w:rPr>
        <w:t xml:space="preserve"> items, but </w:t>
      </w:r>
      <w:r w:rsidR="00C12396" w:rsidRPr="004C2469">
        <w:rPr>
          <w:rFonts w:ascii="Verdana" w:hAnsi="Verdana"/>
        </w:rPr>
        <w:t>items</w:t>
      </w:r>
      <w:r w:rsidRPr="004C2469">
        <w:rPr>
          <w:rFonts w:ascii="Verdana" w:hAnsi="Verdana"/>
        </w:rPr>
        <w:t xml:space="preserve"> with different final submission times and dates should be listed as separate assessment items on the Module Specification.</w:t>
      </w:r>
    </w:p>
    <w:p w:rsidR="00155D3E" w:rsidRPr="004C2469" w:rsidRDefault="00155D3E" w:rsidP="00F653A6">
      <w:pPr>
        <w:rPr>
          <w:rFonts w:ascii="Verdana" w:hAnsi="Verdana"/>
        </w:rPr>
      </w:pPr>
    </w:p>
    <w:p w:rsidR="00695FED" w:rsidRPr="004C2469" w:rsidRDefault="00695FED" w:rsidP="00C12396">
      <w:pPr>
        <w:pStyle w:val="Heading2"/>
        <w:numPr>
          <w:ilvl w:val="1"/>
          <w:numId w:val="5"/>
        </w:numPr>
        <w:rPr>
          <w:rFonts w:ascii="Verdana" w:hAnsi="Verdana"/>
        </w:rPr>
      </w:pPr>
      <w:bookmarkStart w:id="5" w:name="_Toc492972298"/>
      <w:r w:rsidRPr="004C2469">
        <w:rPr>
          <w:rFonts w:ascii="Verdana" w:hAnsi="Verdana"/>
        </w:rPr>
        <w:lastRenderedPageBreak/>
        <w:t>Assessing the individual items within an MSA</w:t>
      </w:r>
      <w:bookmarkEnd w:id="5"/>
    </w:p>
    <w:p w:rsidR="00695FED" w:rsidRPr="004C2469" w:rsidRDefault="00054901" w:rsidP="001B2AB9">
      <w:pPr>
        <w:rPr>
          <w:rFonts w:ascii="Verdana" w:hAnsi="Verdana"/>
        </w:rPr>
      </w:pPr>
      <w:r w:rsidRPr="004C2469">
        <w:rPr>
          <w:rFonts w:ascii="Verdana" w:hAnsi="Verdana"/>
        </w:rPr>
        <w:t>There are two possible</w:t>
      </w:r>
      <w:r w:rsidR="00695FED" w:rsidRPr="004C2469">
        <w:rPr>
          <w:rFonts w:ascii="Verdana" w:hAnsi="Verdana"/>
        </w:rPr>
        <w:t xml:space="preserve"> approaches to assessing the individual items within an MSA.</w:t>
      </w:r>
    </w:p>
    <w:p w:rsidR="00695FED" w:rsidRPr="004C2469" w:rsidRDefault="00695FED" w:rsidP="00695FED">
      <w:pPr>
        <w:pStyle w:val="ListParagraph"/>
        <w:numPr>
          <w:ilvl w:val="0"/>
          <w:numId w:val="2"/>
        </w:numPr>
        <w:rPr>
          <w:rFonts w:ascii="Verdana" w:hAnsi="Verdana"/>
        </w:rPr>
      </w:pPr>
      <w:r w:rsidRPr="004C2469">
        <w:rPr>
          <w:rFonts w:ascii="Verdana" w:hAnsi="Verdana"/>
        </w:rPr>
        <w:t>Assess the learning outcomes (preferred)</w:t>
      </w:r>
    </w:p>
    <w:p w:rsidR="00695FED" w:rsidRPr="004C2469" w:rsidRDefault="00A91DD8" w:rsidP="00695FED">
      <w:pPr>
        <w:pStyle w:val="ListParagraph"/>
        <w:numPr>
          <w:ilvl w:val="0"/>
          <w:numId w:val="2"/>
        </w:numPr>
        <w:rPr>
          <w:rFonts w:ascii="Verdana" w:hAnsi="Verdana"/>
        </w:rPr>
      </w:pPr>
      <w:r w:rsidRPr="004C2469">
        <w:rPr>
          <w:rFonts w:ascii="Verdana" w:hAnsi="Verdana"/>
        </w:rPr>
        <w:t xml:space="preserve">Assess </w:t>
      </w:r>
      <w:r w:rsidR="00695FED" w:rsidRPr="004C2469">
        <w:rPr>
          <w:rFonts w:ascii="Verdana" w:hAnsi="Verdana"/>
        </w:rPr>
        <w:t>each of the individual items</w:t>
      </w:r>
    </w:p>
    <w:p w:rsidR="00A91DD8" w:rsidRPr="004C2469" w:rsidRDefault="00695FED" w:rsidP="001B2AB9">
      <w:pPr>
        <w:rPr>
          <w:rFonts w:ascii="Verdana" w:hAnsi="Verdana"/>
        </w:rPr>
      </w:pPr>
      <w:r w:rsidRPr="004C2469">
        <w:rPr>
          <w:rFonts w:ascii="Verdana" w:hAnsi="Verdana"/>
        </w:rPr>
        <w:t>Regardless of the approach taken, it is strongly recommended to use a rubric</w:t>
      </w:r>
      <w:r w:rsidR="00A91DD8" w:rsidRPr="004C2469">
        <w:rPr>
          <w:rFonts w:ascii="Verdana" w:hAnsi="Verdana"/>
        </w:rPr>
        <w:t xml:space="preserve"> to mark an</w:t>
      </w:r>
      <w:r w:rsidR="00054901" w:rsidRPr="004C2469">
        <w:rPr>
          <w:rFonts w:ascii="Verdana" w:hAnsi="Verdana"/>
        </w:rPr>
        <w:t xml:space="preserve"> MSA</w:t>
      </w:r>
      <w:r w:rsidR="00A91DD8" w:rsidRPr="004C2469">
        <w:rPr>
          <w:rFonts w:ascii="Verdana" w:hAnsi="Verdana"/>
        </w:rPr>
        <w:t xml:space="preserve"> (see screenshot overleaf)</w:t>
      </w:r>
      <w:r w:rsidRPr="004C2469">
        <w:rPr>
          <w:rFonts w:ascii="Verdana" w:hAnsi="Verdana"/>
        </w:rPr>
        <w:t xml:space="preserve">. When using approach #1, the rubric row headers will contain the learning outcomes and the column headers will contain statements such as excellent, very good, good, adequate, fail. When using approach #2, the rubric row headers will contain the names of the individual components of the MSA, and the column headers will be the same as with approach #1. In neither case should the column headers contain </w:t>
      </w:r>
      <w:r w:rsidR="002711F0" w:rsidRPr="004C2469">
        <w:rPr>
          <w:rFonts w:ascii="Verdana" w:hAnsi="Verdana"/>
        </w:rPr>
        <w:t xml:space="preserve">letter grades, </w:t>
      </w:r>
      <w:r w:rsidRPr="004C2469">
        <w:rPr>
          <w:rFonts w:ascii="Verdana" w:hAnsi="Verdana"/>
        </w:rPr>
        <w:t>A, B, C, D, etc.</w:t>
      </w:r>
      <w:r w:rsidR="00A91DD8" w:rsidRPr="004C2469">
        <w:rPr>
          <w:rFonts w:ascii="Verdana" w:hAnsi="Verdana"/>
        </w:rPr>
        <w:t xml:space="preserve"> It may</w:t>
      </w:r>
      <w:r w:rsidR="00054901" w:rsidRPr="004C2469">
        <w:rPr>
          <w:rFonts w:ascii="Verdana" w:hAnsi="Verdana"/>
        </w:rPr>
        <w:t xml:space="preserve"> be inferred that A = excellent, B = very good, etc.</w:t>
      </w:r>
      <w:r w:rsidR="00A91DD8" w:rsidRPr="004C2469">
        <w:rPr>
          <w:rFonts w:ascii="Verdana" w:hAnsi="Verdana"/>
        </w:rPr>
        <w:t>, but it should not be explicit</w:t>
      </w:r>
      <w:r w:rsidR="00111A9D" w:rsidRPr="004C2469">
        <w:rPr>
          <w:rFonts w:ascii="Verdana" w:hAnsi="Verdana"/>
        </w:rPr>
        <w:t>ly</w:t>
      </w:r>
      <w:r w:rsidR="00A91DD8" w:rsidRPr="004C2469">
        <w:rPr>
          <w:rFonts w:ascii="Verdana" w:hAnsi="Verdana"/>
        </w:rPr>
        <w:t xml:space="preserve"> stated that this is the case.</w:t>
      </w:r>
      <w:r w:rsidR="00C12396" w:rsidRPr="004C2469">
        <w:rPr>
          <w:rFonts w:ascii="Verdana" w:hAnsi="Verdana"/>
        </w:rPr>
        <w:t xml:space="preserve"> This is because letter grades are only awarded in respect of the complete assignment, not a component part.</w:t>
      </w:r>
    </w:p>
    <w:p w:rsidR="00E71734" w:rsidRPr="004C2469" w:rsidRDefault="00A91DD8" w:rsidP="00A91DD8">
      <w:pPr>
        <w:rPr>
          <w:rFonts w:ascii="Verdana" w:hAnsi="Verdana"/>
        </w:rPr>
      </w:pPr>
      <w:r w:rsidRPr="004C2469">
        <w:rPr>
          <w:rFonts w:ascii="Verdana" w:hAnsi="Verdana"/>
        </w:rPr>
        <w:t>For the marking of MSAs, a NILE/Blackboard rubric set to ‘point range’ is strongly recommended. The point ranges should be set so that each row</w:t>
      </w:r>
      <w:r w:rsidR="00E71734" w:rsidRPr="004C2469">
        <w:rPr>
          <w:rFonts w:ascii="Verdana" w:hAnsi="Verdana"/>
        </w:rPr>
        <w:t>’s maximum score</w:t>
      </w:r>
      <w:r w:rsidRPr="004C2469">
        <w:rPr>
          <w:rFonts w:ascii="Verdana" w:hAnsi="Verdana"/>
        </w:rPr>
        <w:t xml:space="preserve"> reflects the </w:t>
      </w:r>
      <w:r w:rsidR="00C12396" w:rsidRPr="004C2469">
        <w:rPr>
          <w:rFonts w:ascii="Verdana" w:hAnsi="Verdana"/>
        </w:rPr>
        <w:t>weight</w:t>
      </w:r>
      <w:r w:rsidRPr="004C2469">
        <w:rPr>
          <w:rFonts w:ascii="Verdana" w:hAnsi="Verdana"/>
        </w:rPr>
        <w:t xml:space="preserve"> of the learning</w:t>
      </w:r>
      <w:r w:rsidR="00E71734" w:rsidRPr="004C2469">
        <w:rPr>
          <w:rFonts w:ascii="Verdana" w:hAnsi="Verdana"/>
        </w:rPr>
        <w:t xml:space="preserve"> outcome </w:t>
      </w:r>
      <w:r w:rsidR="00C12396" w:rsidRPr="004C2469">
        <w:rPr>
          <w:rFonts w:ascii="Verdana" w:hAnsi="Verdana"/>
        </w:rPr>
        <w:t xml:space="preserve">(evenly distributed) </w:t>
      </w:r>
      <w:r w:rsidR="00E71734" w:rsidRPr="004C2469">
        <w:rPr>
          <w:rFonts w:ascii="Verdana" w:hAnsi="Verdana"/>
        </w:rPr>
        <w:t xml:space="preserve">or the individual </w:t>
      </w:r>
      <w:r w:rsidR="00C12396" w:rsidRPr="004C2469">
        <w:rPr>
          <w:rFonts w:ascii="Verdana" w:hAnsi="Verdana"/>
        </w:rPr>
        <w:t>sub-component</w:t>
      </w:r>
      <w:r w:rsidRPr="004C2469">
        <w:rPr>
          <w:rFonts w:ascii="Verdana" w:hAnsi="Verdana"/>
        </w:rPr>
        <w:t xml:space="preserve"> (depending on which approach is being taken). It is important to ensure that the point ranges are set correctly, and in accordance with the guidance</w:t>
      </w:r>
      <w:r w:rsidR="00E71734" w:rsidRPr="004C2469">
        <w:rPr>
          <w:rFonts w:ascii="Verdana" w:hAnsi="Verdana"/>
        </w:rPr>
        <w:t xml:space="preserve"> (see below)</w:t>
      </w:r>
      <w:r w:rsidR="00E537E3" w:rsidRPr="004C2469">
        <w:rPr>
          <w:rFonts w:ascii="Verdana" w:hAnsi="Verdana"/>
        </w:rPr>
        <w:t xml:space="preserve"> otherwise inappropriate letter grades will be calculated</w:t>
      </w:r>
      <w:r w:rsidR="00E71734" w:rsidRPr="004C2469">
        <w:rPr>
          <w:rFonts w:ascii="Verdana" w:hAnsi="Verdana"/>
        </w:rPr>
        <w:t>. As well as the score for each individual item or learning outcome, space is</w:t>
      </w:r>
      <w:r w:rsidR="00E537E3" w:rsidRPr="004C2469">
        <w:rPr>
          <w:rFonts w:ascii="Verdana" w:hAnsi="Verdana"/>
        </w:rPr>
        <w:t xml:space="preserve"> </w:t>
      </w:r>
      <w:r w:rsidR="00E71734" w:rsidRPr="004C2469">
        <w:rPr>
          <w:rFonts w:ascii="Verdana" w:hAnsi="Verdana"/>
        </w:rPr>
        <w:t>provided on the rubric to add qualitative comments.</w:t>
      </w:r>
    </w:p>
    <w:p w:rsidR="00A91DD8" w:rsidRPr="004C2469" w:rsidRDefault="00A91DD8" w:rsidP="00A91DD8">
      <w:pPr>
        <w:rPr>
          <w:rFonts w:ascii="Verdana" w:hAnsi="Verdana"/>
        </w:rPr>
      </w:pPr>
      <w:r w:rsidRPr="004C2469">
        <w:rPr>
          <w:rFonts w:ascii="Verdana" w:hAnsi="Verdana"/>
        </w:rPr>
        <w:t>When the marking is completed, a total score of between 0 and 100 will be given</w:t>
      </w:r>
      <w:r w:rsidR="00E71734" w:rsidRPr="004C2469">
        <w:rPr>
          <w:rFonts w:ascii="Verdana" w:hAnsi="Verdana"/>
        </w:rPr>
        <w:t>,</w:t>
      </w:r>
      <w:r w:rsidRPr="004C2469">
        <w:rPr>
          <w:rFonts w:ascii="Verdana" w:hAnsi="Verdana"/>
        </w:rPr>
        <w:t xml:space="preserve"> which will be converted </w:t>
      </w:r>
      <w:r w:rsidR="00E71734" w:rsidRPr="004C2469">
        <w:rPr>
          <w:rFonts w:ascii="Verdana" w:hAnsi="Verdana"/>
        </w:rPr>
        <w:t xml:space="preserve">by NILE </w:t>
      </w:r>
      <w:r w:rsidRPr="004C2469">
        <w:rPr>
          <w:rFonts w:ascii="Verdana" w:hAnsi="Verdana"/>
        </w:rPr>
        <w:t>into an appropriate letter grade for the whole assessment.</w:t>
      </w:r>
      <w:r w:rsidR="00E71734" w:rsidRPr="004C2469">
        <w:rPr>
          <w:rFonts w:ascii="Verdana" w:hAnsi="Verdana"/>
        </w:rPr>
        <w:t xml:space="preserve"> After the letter grade has been calculated, the rubric scores can be edited if the overall assessment grade is not as desired.</w:t>
      </w:r>
    </w:p>
    <w:p w:rsidR="00A91DD8" w:rsidRPr="004C2469" w:rsidRDefault="00A91DD8" w:rsidP="00A91DD8">
      <w:pPr>
        <w:spacing w:after="0"/>
        <w:ind w:left="-284"/>
        <w:jc w:val="center"/>
        <w:rPr>
          <w:rFonts w:ascii="Verdana" w:hAnsi="Verdana"/>
        </w:rPr>
      </w:pPr>
      <w:r w:rsidRPr="004C2469">
        <w:rPr>
          <w:rFonts w:ascii="Verdana" w:hAnsi="Verdana"/>
          <w:noProof/>
          <w:lang w:eastAsia="en-GB"/>
        </w:rPr>
        <w:lastRenderedPageBreak/>
        <w:drawing>
          <wp:inline distT="0" distB="0" distL="0" distR="0" wp14:anchorId="0E306C44" wp14:editId="72B62FB0">
            <wp:extent cx="6026400" cy="318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screenshot.png"/>
                    <pic:cNvPicPr/>
                  </pic:nvPicPr>
                  <pic:blipFill>
                    <a:blip r:embed="rId8">
                      <a:extLst>
                        <a:ext uri="{28A0092B-C50C-407E-A947-70E740481C1C}">
                          <a14:useLocalDpi xmlns:a14="http://schemas.microsoft.com/office/drawing/2010/main" val="0"/>
                        </a:ext>
                      </a:extLst>
                    </a:blip>
                    <a:stretch>
                      <a:fillRect/>
                    </a:stretch>
                  </pic:blipFill>
                  <pic:spPr>
                    <a:xfrm>
                      <a:off x="0" y="0"/>
                      <a:ext cx="6026400" cy="3189600"/>
                    </a:xfrm>
                    <a:prstGeom prst="rect">
                      <a:avLst/>
                    </a:prstGeom>
                  </pic:spPr>
                </pic:pic>
              </a:graphicData>
            </a:graphic>
          </wp:inline>
        </w:drawing>
      </w:r>
    </w:p>
    <w:p w:rsidR="00A91DD8" w:rsidRPr="004C2469" w:rsidRDefault="00A91DD8" w:rsidP="00A91DD8">
      <w:pPr>
        <w:ind w:left="-284"/>
        <w:jc w:val="center"/>
        <w:rPr>
          <w:rFonts w:ascii="Verdana" w:hAnsi="Verdana"/>
          <w:i/>
          <w:sz w:val="18"/>
          <w:szCs w:val="18"/>
        </w:rPr>
      </w:pPr>
      <w:r w:rsidRPr="004C2469">
        <w:rPr>
          <w:rFonts w:ascii="Verdana" w:hAnsi="Verdana"/>
          <w:i/>
          <w:sz w:val="18"/>
          <w:szCs w:val="18"/>
        </w:rPr>
        <w:t>Screenshot of a NILE/Blackboard rubric</w:t>
      </w:r>
    </w:p>
    <w:p w:rsidR="004C2469" w:rsidRPr="004C2469" w:rsidRDefault="004C2469" w:rsidP="00A91DD8">
      <w:pPr>
        <w:ind w:left="-284"/>
        <w:jc w:val="center"/>
        <w:rPr>
          <w:rFonts w:ascii="Verdana" w:hAnsi="Verdana"/>
          <w:i/>
          <w:sz w:val="18"/>
          <w:szCs w:val="18"/>
        </w:rPr>
      </w:pPr>
    </w:p>
    <w:p w:rsidR="002711F0" w:rsidRPr="004C2469" w:rsidRDefault="002711F0" w:rsidP="00C12396">
      <w:pPr>
        <w:pStyle w:val="Heading2"/>
        <w:numPr>
          <w:ilvl w:val="1"/>
          <w:numId w:val="5"/>
        </w:numPr>
        <w:rPr>
          <w:rFonts w:ascii="Verdana" w:hAnsi="Verdana"/>
        </w:rPr>
      </w:pPr>
      <w:bookmarkStart w:id="6" w:name="_Toc492972299"/>
      <w:r w:rsidRPr="004C2469">
        <w:rPr>
          <w:rFonts w:ascii="Verdana" w:hAnsi="Verdana"/>
        </w:rPr>
        <w:t>Understanding how to set-up and use rubrics in NILE to mark MSAs</w:t>
      </w:r>
      <w:bookmarkEnd w:id="6"/>
    </w:p>
    <w:p w:rsidR="00A91DD8" w:rsidRPr="004C2469" w:rsidRDefault="00A91DD8" w:rsidP="00A91DD8">
      <w:pPr>
        <w:rPr>
          <w:rFonts w:ascii="Verdana" w:hAnsi="Verdana"/>
        </w:rPr>
      </w:pPr>
      <w:r w:rsidRPr="004C2469">
        <w:rPr>
          <w:rFonts w:ascii="Verdana" w:hAnsi="Verdana"/>
        </w:rPr>
        <w:t>The following guides have been produced in order to help staff set-up and use rubrics.</w:t>
      </w:r>
    </w:p>
    <w:p w:rsidR="00A91DD8" w:rsidRPr="004C2469" w:rsidRDefault="00A91DD8" w:rsidP="00A91DD8">
      <w:pPr>
        <w:rPr>
          <w:rFonts w:ascii="Verdana" w:hAnsi="Verdana"/>
        </w:rPr>
      </w:pPr>
      <w:r w:rsidRPr="004C2469">
        <w:rPr>
          <w:rFonts w:ascii="Verdana" w:hAnsi="Verdana"/>
          <w:b/>
        </w:rPr>
        <w:t>What are rubrics, why would I use one, and how do I create one?</w:t>
      </w:r>
      <w:r w:rsidRPr="004C2469">
        <w:rPr>
          <w:rFonts w:ascii="Verdana" w:hAnsi="Verdana"/>
        </w:rPr>
        <w:br/>
      </w:r>
      <w:hyperlink r:id="rId9" w:history="1">
        <w:r w:rsidRPr="004C2469">
          <w:rPr>
            <w:rStyle w:val="Hyperlink"/>
            <w:rFonts w:ascii="Verdana" w:hAnsi="Verdana"/>
          </w:rPr>
          <w:t>https://nile.northampton.ac.uk/bbcswebdav/xid-1055462_1</w:t>
        </w:r>
      </w:hyperlink>
    </w:p>
    <w:p w:rsidR="00A91DD8" w:rsidRPr="004C2469" w:rsidRDefault="00A91DD8" w:rsidP="00A91DD8">
      <w:pPr>
        <w:rPr>
          <w:rFonts w:ascii="Verdana" w:hAnsi="Verdana"/>
        </w:rPr>
      </w:pPr>
      <w:r w:rsidRPr="004C2469">
        <w:rPr>
          <w:rFonts w:ascii="Verdana" w:hAnsi="Verdana"/>
          <w:b/>
        </w:rPr>
        <w:t>What point ranges should I use when creating a rubric?</w:t>
      </w:r>
      <w:r w:rsidRPr="004C2469">
        <w:rPr>
          <w:rFonts w:ascii="Verdana" w:hAnsi="Verdana"/>
        </w:rPr>
        <w:t xml:space="preserve"> </w:t>
      </w:r>
      <w:r w:rsidRPr="004C2469">
        <w:rPr>
          <w:rFonts w:ascii="Verdana" w:hAnsi="Verdana"/>
        </w:rPr>
        <w:br/>
      </w:r>
      <w:hyperlink r:id="rId10" w:history="1">
        <w:r w:rsidRPr="004C2469">
          <w:rPr>
            <w:rStyle w:val="Hyperlink"/>
            <w:rFonts w:ascii="Verdana" w:hAnsi="Verdana"/>
          </w:rPr>
          <w:t>https://nile.northampton.ac.uk/bbcswebdav/xid-1061262_1</w:t>
        </w:r>
      </w:hyperlink>
    </w:p>
    <w:p w:rsidR="00A91DD8" w:rsidRPr="004C2469" w:rsidRDefault="00A91DD8" w:rsidP="00A91DD8">
      <w:pPr>
        <w:rPr>
          <w:rFonts w:ascii="Verdana" w:hAnsi="Verdana"/>
        </w:rPr>
      </w:pPr>
      <w:r w:rsidRPr="004C2469">
        <w:rPr>
          <w:rFonts w:ascii="Verdana" w:hAnsi="Verdana"/>
          <w:b/>
        </w:rPr>
        <w:t>How do I attach a rubric to an item for assessment?</w:t>
      </w:r>
      <w:r w:rsidRPr="004C2469">
        <w:rPr>
          <w:rFonts w:ascii="Verdana" w:hAnsi="Verdana"/>
        </w:rPr>
        <w:br/>
      </w:r>
      <w:hyperlink r:id="rId11" w:history="1">
        <w:r w:rsidRPr="004C2469">
          <w:rPr>
            <w:rStyle w:val="Hyperlink"/>
            <w:rFonts w:ascii="Verdana" w:hAnsi="Verdana"/>
          </w:rPr>
          <w:t>https://nile.northampton.ac.uk/bbcswebdav/xid-1061261_1</w:t>
        </w:r>
      </w:hyperlink>
    </w:p>
    <w:p w:rsidR="00A91DD8" w:rsidRPr="004C2469" w:rsidRDefault="00E2515B" w:rsidP="00E2515B">
      <w:pPr>
        <w:pStyle w:val="Heading1"/>
        <w:rPr>
          <w:rFonts w:ascii="Verdana" w:hAnsi="Verdana"/>
        </w:rPr>
      </w:pPr>
      <w:bookmarkStart w:id="7" w:name="_Toc492972300"/>
      <w:r w:rsidRPr="004C2469">
        <w:rPr>
          <w:rFonts w:ascii="Verdana" w:hAnsi="Verdana"/>
        </w:rPr>
        <w:t>Part 2: Multiple Sub-component Assessments that are Computer Marked</w:t>
      </w:r>
      <w:bookmarkEnd w:id="7"/>
    </w:p>
    <w:p w:rsidR="00C12396" w:rsidRPr="004C2469" w:rsidRDefault="00C12396" w:rsidP="00C12396">
      <w:pPr>
        <w:pStyle w:val="ListParagraph"/>
        <w:keepNext/>
        <w:keepLines/>
        <w:numPr>
          <w:ilvl w:val="0"/>
          <w:numId w:val="6"/>
        </w:numPr>
        <w:spacing w:before="200" w:after="0"/>
        <w:contextualSpacing w:val="0"/>
        <w:outlineLvl w:val="1"/>
        <w:rPr>
          <w:rFonts w:ascii="Verdana" w:eastAsiaTheme="majorEastAsia" w:hAnsi="Verdana" w:cstheme="majorBidi"/>
          <w:b/>
          <w:bCs/>
          <w:vanish/>
          <w:color w:val="4F81BD" w:themeColor="accent1"/>
          <w:sz w:val="26"/>
          <w:szCs w:val="26"/>
        </w:rPr>
      </w:pPr>
      <w:bookmarkStart w:id="8" w:name="_Toc492972050"/>
      <w:bookmarkStart w:id="9" w:name="_Toc492972069"/>
      <w:bookmarkStart w:id="10" w:name="_Toc492972301"/>
      <w:bookmarkEnd w:id="8"/>
      <w:bookmarkEnd w:id="9"/>
      <w:bookmarkEnd w:id="10"/>
    </w:p>
    <w:p w:rsidR="00C12396" w:rsidRPr="004C2469" w:rsidRDefault="00C12396" w:rsidP="00C12396">
      <w:pPr>
        <w:pStyle w:val="ListParagraph"/>
        <w:keepNext/>
        <w:keepLines/>
        <w:numPr>
          <w:ilvl w:val="0"/>
          <w:numId w:val="6"/>
        </w:numPr>
        <w:spacing w:before="200" w:after="0"/>
        <w:contextualSpacing w:val="0"/>
        <w:outlineLvl w:val="1"/>
        <w:rPr>
          <w:rFonts w:ascii="Verdana" w:eastAsiaTheme="majorEastAsia" w:hAnsi="Verdana" w:cstheme="majorBidi"/>
          <w:b/>
          <w:bCs/>
          <w:vanish/>
          <w:color w:val="4F81BD" w:themeColor="accent1"/>
          <w:sz w:val="26"/>
          <w:szCs w:val="26"/>
        </w:rPr>
      </w:pPr>
      <w:bookmarkStart w:id="11" w:name="_Toc492972051"/>
      <w:bookmarkStart w:id="12" w:name="_Toc492972070"/>
      <w:bookmarkStart w:id="13" w:name="_Toc492972302"/>
      <w:bookmarkEnd w:id="11"/>
      <w:bookmarkEnd w:id="12"/>
      <w:bookmarkEnd w:id="13"/>
    </w:p>
    <w:p w:rsidR="00E2515B" w:rsidRPr="004C2469" w:rsidRDefault="00C12396" w:rsidP="00C12396">
      <w:pPr>
        <w:pStyle w:val="Heading2"/>
        <w:numPr>
          <w:ilvl w:val="1"/>
          <w:numId w:val="6"/>
        </w:numPr>
        <w:rPr>
          <w:rFonts w:ascii="Verdana" w:hAnsi="Verdana"/>
        </w:rPr>
      </w:pPr>
      <w:r w:rsidRPr="004C2469">
        <w:rPr>
          <w:rFonts w:ascii="Verdana" w:hAnsi="Verdana"/>
        </w:rPr>
        <w:t xml:space="preserve"> </w:t>
      </w:r>
      <w:bookmarkStart w:id="14" w:name="_Toc492972303"/>
      <w:r w:rsidR="00F653A6" w:rsidRPr="004C2469">
        <w:rPr>
          <w:rFonts w:ascii="Verdana" w:hAnsi="Verdana"/>
        </w:rPr>
        <w:t>Basic p</w:t>
      </w:r>
      <w:r w:rsidR="00E2515B" w:rsidRPr="004C2469">
        <w:rPr>
          <w:rFonts w:ascii="Verdana" w:hAnsi="Verdana"/>
        </w:rPr>
        <w:t>rinciples</w:t>
      </w:r>
      <w:bookmarkEnd w:id="14"/>
    </w:p>
    <w:p w:rsidR="00E2515B" w:rsidRPr="004C2469" w:rsidRDefault="00D307BB" w:rsidP="00E2515B">
      <w:pPr>
        <w:pStyle w:val="ListParagraph"/>
        <w:numPr>
          <w:ilvl w:val="0"/>
          <w:numId w:val="3"/>
        </w:numPr>
        <w:rPr>
          <w:rFonts w:ascii="Verdana" w:hAnsi="Verdana"/>
        </w:rPr>
      </w:pPr>
      <w:r w:rsidRPr="004C2469">
        <w:rPr>
          <w:rFonts w:ascii="Verdana" w:hAnsi="Verdana"/>
        </w:rPr>
        <w:t>A maximum combined score of 100 should exist for the total of all sub-component parts. This can be broken up as appropriate, including using different weightings for some of the questions.</w:t>
      </w:r>
    </w:p>
    <w:p w:rsidR="00D307BB" w:rsidRPr="004C2469" w:rsidRDefault="00D307BB" w:rsidP="00E2515B">
      <w:pPr>
        <w:pStyle w:val="ListParagraph"/>
        <w:numPr>
          <w:ilvl w:val="0"/>
          <w:numId w:val="3"/>
        </w:numPr>
        <w:rPr>
          <w:rFonts w:ascii="Verdana" w:hAnsi="Verdana"/>
        </w:rPr>
      </w:pPr>
      <w:r w:rsidRPr="004C2469">
        <w:rPr>
          <w:rFonts w:ascii="Verdana" w:hAnsi="Verdana"/>
        </w:rPr>
        <w:t>Component parts should only ever receive a numerical score, not a letter grade (as detailed above).</w:t>
      </w:r>
    </w:p>
    <w:p w:rsidR="004C2469" w:rsidRPr="00055205" w:rsidRDefault="00F653A6" w:rsidP="004C2469">
      <w:pPr>
        <w:pStyle w:val="ListParagraph"/>
        <w:numPr>
          <w:ilvl w:val="0"/>
          <w:numId w:val="3"/>
        </w:numPr>
        <w:rPr>
          <w:rFonts w:ascii="Verdana" w:hAnsi="Verdana"/>
        </w:rPr>
      </w:pPr>
      <w:r w:rsidRPr="004C2469">
        <w:rPr>
          <w:rFonts w:ascii="Verdana" w:hAnsi="Verdana"/>
        </w:rPr>
        <w:lastRenderedPageBreak/>
        <w:t>Unlike MSAs marked by hand, which only have one final (summative) submission date, computer marked MSAs may have a series of final (summative) submission dates.</w:t>
      </w:r>
    </w:p>
    <w:p w:rsidR="004C2469" w:rsidRPr="004C2469" w:rsidRDefault="004C2469" w:rsidP="004C2469">
      <w:pPr>
        <w:pStyle w:val="Heading1"/>
        <w:rPr>
          <w:rFonts w:ascii="Verdana" w:hAnsi="Verdana"/>
        </w:rPr>
      </w:pPr>
      <w:bookmarkStart w:id="15" w:name="_Toc492972304"/>
      <w:r w:rsidRPr="004C2469">
        <w:rPr>
          <w:rFonts w:ascii="Verdana" w:hAnsi="Verdana"/>
        </w:rPr>
        <w:t>Part 3. Managing Extensions, Resits and Mitigating Circumstances for M</w:t>
      </w:r>
      <w:r>
        <w:rPr>
          <w:rFonts w:ascii="Verdana" w:hAnsi="Verdana"/>
        </w:rPr>
        <w:t xml:space="preserve">ultiple </w:t>
      </w:r>
      <w:r w:rsidRPr="004C2469">
        <w:rPr>
          <w:rFonts w:ascii="Verdana" w:hAnsi="Verdana"/>
        </w:rPr>
        <w:t>S</w:t>
      </w:r>
      <w:r>
        <w:rPr>
          <w:rFonts w:ascii="Verdana" w:hAnsi="Verdana"/>
        </w:rPr>
        <w:t xml:space="preserve">ub-component </w:t>
      </w:r>
      <w:r w:rsidRPr="004C2469">
        <w:rPr>
          <w:rFonts w:ascii="Verdana" w:hAnsi="Verdana"/>
        </w:rPr>
        <w:t>A</w:t>
      </w:r>
      <w:r>
        <w:rPr>
          <w:rFonts w:ascii="Verdana" w:hAnsi="Verdana"/>
        </w:rPr>
        <w:t>ssessments</w:t>
      </w:r>
      <w:bookmarkEnd w:id="15"/>
    </w:p>
    <w:p w:rsidR="004C2469" w:rsidRPr="004C2469" w:rsidRDefault="004C2469" w:rsidP="004C2469">
      <w:pPr>
        <w:rPr>
          <w:rFonts w:ascii="Verdana" w:hAnsi="Verdana"/>
        </w:rPr>
      </w:pPr>
    </w:p>
    <w:p w:rsidR="004C2469" w:rsidRPr="004C2469" w:rsidRDefault="004C2469" w:rsidP="004C2469">
      <w:pPr>
        <w:rPr>
          <w:rFonts w:ascii="Verdana" w:hAnsi="Verdana"/>
        </w:rPr>
      </w:pPr>
      <w:r w:rsidRPr="004C2469">
        <w:rPr>
          <w:rFonts w:ascii="Verdana" w:hAnsi="Verdana"/>
        </w:rPr>
        <w:t>Academic staff seeking to use MSAs as part of their module assessment strategy are strongly encouraged to familiarise themselves with the relevant sections of the current Assessment and Feedback Policy (sections 4.8 – 4.21), and particularly the sections governing extensions, resits and mitigating circumstances.</w:t>
      </w:r>
    </w:p>
    <w:p w:rsidR="004C2469" w:rsidRPr="004C2469" w:rsidRDefault="004C2469" w:rsidP="004C2469">
      <w:pPr>
        <w:rPr>
          <w:rFonts w:ascii="Verdana" w:hAnsi="Verdana"/>
        </w:rPr>
      </w:pPr>
      <w:r w:rsidRPr="004C2469">
        <w:rPr>
          <w:rFonts w:ascii="Verdana" w:hAnsi="Verdana"/>
        </w:rPr>
        <w:t>The following table is reproduced from section 4.21 of the Assessment and Feedback Policy for convenience. It highlights the various similarities and differences between the two types of MSA.</w:t>
      </w:r>
    </w:p>
    <w:tbl>
      <w:tblPr>
        <w:tblStyle w:val="TableGrid"/>
        <w:tblW w:w="0" w:type="auto"/>
        <w:tblInd w:w="720" w:type="dxa"/>
        <w:tblLook w:val="04A0" w:firstRow="1" w:lastRow="0" w:firstColumn="1" w:lastColumn="0" w:noHBand="0" w:noVBand="1"/>
      </w:tblPr>
      <w:tblGrid>
        <w:gridCol w:w="2110"/>
        <w:gridCol w:w="3119"/>
        <w:gridCol w:w="3067"/>
      </w:tblGrid>
      <w:tr w:rsidR="004C2469" w:rsidRPr="004C2469" w:rsidTr="00055205">
        <w:tc>
          <w:tcPr>
            <w:tcW w:w="2110" w:type="dxa"/>
          </w:tcPr>
          <w:p w:rsidR="004C2469" w:rsidRPr="004C2469" w:rsidRDefault="004C2469" w:rsidP="004C2469">
            <w:pPr>
              <w:pStyle w:val="ListParagraph"/>
              <w:ind w:left="0"/>
              <w:jc w:val="both"/>
              <w:rPr>
                <w:rFonts w:ascii="Verdana" w:hAnsi="Verdana"/>
                <w:b/>
                <w:sz w:val="20"/>
              </w:rPr>
            </w:pPr>
          </w:p>
        </w:tc>
        <w:tc>
          <w:tcPr>
            <w:tcW w:w="3119" w:type="dxa"/>
          </w:tcPr>
          <w:p w:rsidR="004C2469" w:rsidRPr="004C2469" w:rsidRDefault="004C2469" w:rsidP="004C2469">
            <w:pPr>
              <w:pStyle w:val="ListParagraph"/>
              <w:ind w:left="0"/>
              <w:jc w:val="both"/>
              <w:rPr>
                <w:rFonts w:ascii="Verdana" w:hAnsi="Verdana"/>
                <w:b/>
                <w:sz w:val="20"/>
              </w:rPr>
            </w:pPr>
            <w:r w:rsidRPr="004C2469">
              <w:rPr>
                <w:rFonts w:ascii="Verdana" w:hAnsi="Verdana"/>
                <w:b/>
                <w:sz w:val="20"/>
              </w:rPr>
              <w:t>Hand Marked MSAs</w:t>
            </w:r>
          </w:p>
        </w:tc>
        <w:tc>
          <w:tcPr>
            <w:tcW w:w="3067" w:type="dxa"/>
          </w:tcPr>
          <w:p w:rsidR="004C2469" w:rsidRPr="004C2469" w:rsidRDefault="004C2469" w:rsidP="004C2469">
            <w:pPr>
              <w:pStyle w:val="ListParagraph"/>
              <w:ind w:left="0"/>
              <w:rPr>
                <w:rFonts w:ascii="Verdana" w:hAnsi="Verdana"/>
                <w:b/>
                <w:sz w:val="20"/>
              </w:rPr>
            </w:pPr>
            <w:r w:rsidRPr="004C2469">
              <w:rPr>
                <w:rFonts w:ascii="Verdana" w:hAnsi="Verdana"/>
                <w:b/>
                <w:sz w:val="20"/>
              </w:rPr>
              <w:t>Computer Marked MSAs</w:t>
            </w:r>
          </w:p>
        </w:tc>
      </w:tr>
      <w:tr w:rsidR="004C2469" w:rsidRPr="004C2469" w:rsidTr="00055205">
        <w:tc>
          <w:tcPr>
            <w:tcW w:w="2110" w:type="dxa"/>
          </w:tcPr>
          <w:p w:rsidR="004C2469" w:rsidRPr="004C2469" w:rsidRDefault="004C2469" w:rsidP="004C2469">
            <w:pPr>
              <w:pStyle w:val="ListParagraph"/>
              <w:ind w:left="0"/>
              <w:rPr>
                <w:rFonts w:ascii="Verdana" w:hAnsi="Verdana"/>
                <w:b/>
                <w:sz w:val="20"/>
              </w:rPr>
            </w:pPr>
            <w:r w:rsidRPr="004C2469">
              <w:rPr>
                <w:rFonts w:ascii="Verdana" w:hAnsi="Verdana"/>
                <w:b/>
                <w:sz w:val="20"/>
              </w:rPr>
              <w:t>Nature of sub-components</w:t>
            </w:r>
          </w:p>
        </w:tc>
        <w:tc>
          <w:tcPr>
            <w:tcW w:w="3119" w:type="dxa"/>
          </w:tcPr>
          <w:p w:rsidR="004C2469" w:rsidRPr="004C2469" w:rsidRDefault="004C2469" w:rsidP="004C2469">
            <w:pPr>
              <w:pStyle w:val="ListParagraph"/>
              <w:ind w:left="0"/>
              <w:rPr>
                <w:rFonts w:ascii="Verdana" w:hAnsi="Verdana"/>
                <w:sz w:val="20"/>
              </w:rPr>
            </w:pPr>
            <w:r w:rsidRPr="004C2469">
              <w:rPr>
                <w:rFonts w:ascii="Verdana" w:hAnsi="Verdana"/>
                <w:sz w:val="20"/>
              </w:rPr>
              <w:t>Formative until final summative due date</w:t>
            </w:r>
          </w:p>
        </w:tc>
        <w:tc>
          <w:tcPr>
            <w:tcW w:w="3067" w:type="dxa"/>
          </w:tcPr>
          <w:p w:rsidR="004C2469" w:rsidRPr="004C2469" w:rsidRDefault="004C2469" w:rsidP="004C2469">
            <w:pPr>
              <w:pStyle w:val="ListParagraph"/>
              <w:ind w:left="0"/>
              <w:rPr>
                <w:rFonts w:ascii="Verdana" w:hAnsi="Verdana"/>
                <w:sz w:val="20"/>
              </w:rPr>
            </w:pPr>
            <w:r w:rsidRPr="004C2469">
              <w:rPr>
                <w:rFonts w:ascii="Verdana" w:hAnsi="Verdana"/>
                <w:sz w:val="20"/>
              </w:rPr>
              <w:t>Each sub-component functions practically as a summative assignment</w:t>
            </w:r>
          </w:p>
        </w:tc>
      </w:tr>
      <w:tr w:rsidR="004C2469" w:rsidRPr="004C2469" w:rsidTr="00055205">
        <w:tc>
          <w:tcPr>
            <w:tcW w:w="2110" w:type="dxa"/>
          </w:tcPr>
          <w:p w:rsidR="004C2469" w:rsidRPr="004C2469" w:rsidRDefault="004C2469" w:rsidP="004C2469">
            <w:pPr>
              <w:pStyle w:val="ListParagraph"/>
              <w:ind w:left="0"/>
              <w:rPr>
                <w:rFonts w:ascii="Verdana" w:hAnsi="Verdana"/>
                <w:b/>
                <w:sz w:val="20"/>
              </w:rPr>
            </w:pPr>
            <w:r w:rsidRPr="004C2469">
              <w:rPr>
                <w:rFonts w:ascii="Verdana" w:hAnsi="Verdana"/>
                <w:b/>
                <w:sz w:val="20"/>
              </w:rPr>
              <w:t>Provision of feedback / feedforward</w:t>
            </w:r>
          </w:p>
        </w:tc>
        <w:tc>
          <w:tcPr>
            <w:tcW w:w="3119" w:type="dxa"/>
          </w:tcPr>
          <w:p w:rsidR="004C2469" w:rsidRPr="004C2469" w:rsidRDefault="004C2469" w:rsidP="004C2469">
            <w:pPr>
              <w:pStyle w:val="ListParagraph"/>
              <w:ind w:left="0"/>
              <w:rPr>
                <w:rFonts w:ascii="Verdana" w:hAnsi="Verdana"/>
                <w:sz w:val="20"/>
              </w:rPr>
            </w:pPr>
            <w:r w:rsidRPr="004C2469">
              <w:rPr>
                <w:rFonts w:ascii="Verdana" w:hAnsi="Verdana"/>
                <w:sz w:val="20"/>
              </w:rPr>
              <w:t>At least 1 opportunity for feedback / feedforward over the duration of the module</w:t>
            </w:r>
          </w:p>
        </w:tc>
        <w:tc>
          <w:tcPr>
            <w:tcW w:w="3067" w:type="dxa"/>
          </w:tcPr>
          <w:p w:rsidR="004C2469" w:rsidRPr="004C2469" w:rsidRDefault="004C2469" w:rsidP="004C2469">
            <w:pPr>
              <w:pStyle w:val="ListParagraph"/>
              <w:ind w:left="0"/>
              <w:rPr>
                <w:rFonts w:ascii="Verdana" w:hAnsi="Verdana"/>
                <w:sz w:val="20"/>
              </w:rPr>
            </w:pPr>
            <w:r w:rsidRPr="004C2469">
              <w:rPr>
                <w:rFonts w:ascii="Verdana" w:hAnsi="Verdana"/>
                <w:sz w:val="20"/>
              </w:rPr>
              <w:t>Supported by formative feedback / feedforward as part of learning activities, but not possible for each sub-component due to their ‘summative’ nature</w:t>
            </w:r>
          </w:p>
        </w:tc>
      </w:tr>
      <w:tr w:rsidR="004C2469" w:rsidRPr="004C2469" w:rsidTr="00055205">
        <w:tc>
          <w:tcPr>
            <w:tcW w:w="2110" w:type="dxa"/>
          </w:tcPr>
          <w:p w:rsidR="004C2469" w:rsidRPr="004C2469" w:rsidRDefault="004C2469" w:rsidP="004C2469">
            <w:pPr>
              <w:pStyle w:val="ListParagraph"/>
              <w:ind w:left="0"/>
              <w:rPr>
                <w:rFonts w:ascii="Verdana" w:hAnsi="Verdana"/>
                <w:b/>
                <w:sz w:val="20"/>
              </w:rPr>
            </w:pPr>
            <w:r w:rsidRPr="004C2469">
              <w:rPr>
                <w:rFonts w:ascii="Verdana" w:hAnsi="Verdana"/>
                <w:b/>
                <w:sz w:val="20"/>
              </w:rPr>
              <w:t>Provision of grades</w:t>
            </w:r>
          </w:p>
        </w:tc>
        <w:tc>
          <w:tcPr>
            <w:tcW w:w="3119" w:type="dxa"/>
          </w:tcPr>
          <w:p w:rsidR="004C2469" w:rsidRPr="004C2469" w:rsidRDefault="004C2469" w:rsidP="004C2469">
            <w:pPr>
              <w:pStyle w:val="ListParagraph"/>
              <w:ind w:left="0"/>
              <w:rPr>
                <w:rFonts w:ascii="Verdana" w:hAnsi="Verdana"/>
                <w:sz w:val="20"/>
              </w:rPr>
            </w:pPr>
            <w:r w:rsidRPr="004C2469">
              <w:rPr>
                <w:rFonts w:ascii="Verdana" w:hAnsi="Verdana"/>
                <w:sz w:val="20"/>
              </w:rPr>
              <w:t>No score or grade available until the final summative due date has passed and the assignment has been marked</w:t>
            </w:r>
          </w:p>
        </w:tc>
        <w:tc>
          <w:tcPr>
            <w:tcW w:w="3067" w:type="dxa"/>
          </w:tcPr>
          <w:p w:rsidR="004C2469" w:rsidRPr="004C2469" w:rsidRDefault="004C2469" w:rsidP="004C2469">
            <w:pPr>
              <w:pStyle w:val="ListParagraph"/>
              <w:ind w:left="0"/>
              <w:rPr>
                <w:rFonts w:ascii="Verdana" w:hAnsi="Verdana"/>
                <w:sz w:val="20"/>
              </w:rPr>
            </w:pPr>
            <w:r w:rsidRPr="004C2469">
              <w:rPr>
                <w:rFonts w:ascii="Verdana" w:hAnsi="Verdana"/>
                <w:sz w:val="20"/>
              </w:rPr>
              <w:t>Numerical scores to be used for each sub-component part out of a combined total of 100</w:t>
            </w:r>
          </w:p>
        </w:tc>
      </w:tr>
      <w:tr w:rsidR="004C2469" w:rsidRPr="004C2469" w:rsidTr="00055205">
        <w:tc>
          <w:tcPr>
            <w:tcW w:w="2110" w:type="dxa"/>
          </w:tcPr>
          <w:p w:rsidR="004C2469" w:rsidRPr="004C2469" w:rsidRDefault="004C2469" w:rsidP="004C2469">
            <w:pPr>
              <w:pStyle w:val="ListParagraph"/>
              <w:ind w:left="0"/>
              <w:rPr>
                <w:rFonts w:ascii="Verdana" w:hAnsi="Verdana"/>
                <w:b/>
                <w:sz w:val="20"/>
              </w:rPr>
            </w:pPr>
            <w:r w:rsidRPr="004C2469">
              <w:rPr>
                <w:rFonts w:ascii="Verdana" w:hAnsi="Verdana"/>
                <w:b/>
                <w:sz w:val="20"/>
              </w:rPr>
              <w:t>Letter grades</w:t>
            </w:r>
          </w:p>
        </w:tc>
        <w:tc>
          <w:tcPr>
            <w:tcW w:w="3119" w:type="dxa"/>
          </w:tcPr>
          <w:p w:rsidR="004C2469" w:rsidRPr="004C2469" w:rsidRDefault="004C2469" w:rsidP="004C2469">
            <w:pPr>
              <w:pStyle w:val="ListParagraph"/>
              <w:ind w:left="0"/>
              <w:rPr>
                <w:rFonts w:ascii="Verdana" w:hAnsi="Verdana"/>
                <w:sz w:val="20"/>
              </w:rPr>
            </w:pPr>
            <w:r w:rsidRPr="004C2469">
              <w:rPr>
                <w:rFonts w:ascii="Verdana" w:hAnsi="Verdana"/>
                <w:sz w:val="20"/>
              </w:rPr>
              <w:t>Reserved for the summative grade for the whole assignment</w:t>
            </w:r>
          </w:p>
        </w:tc>
        <w:tc>
          <w:tcPr>
            <w:tcW w:w="3067" w:type="dxa"/>
          </w:tcPr>
          <w:p w:rsidR="004C2469" w:rsidRPr="004C2469" w:rsidRDefault="004C2469" w:rsidP="004C2469">
            <w:pPr>
              <w:pStyle w:val="ListParagraph"/>
              <w:ind w:left="0"/>
              <w:rPr>
                <w:rFonts w:ascii="Verdana" w:hAnsi="Verdana"/>
                <w:sz w:val="20"/>
              </w:rPr>
            </w:pPr>
            <w:r w:rsidRPr="004C2469">
              <w:rPr>
                <w:rFonts w:ascii="Verdana" w:hAnsi="Verdana"/>
                <w:sz w:val="20"/>
              </w:rPr>
              <w:t>Reserved for the summative grade for the whole assignment</w:t>
            </w:r>
          </w:p>
        </w:tc>
      </w:tr>
      <w:tr w:rsidR="004C2469" w:rsidRPr="004C2469" w:rsidTr="00055205">
        <w:tc>
          <w:tcPr>
            <w:tcW w:w="2110" w:type="dxa"/>
          </w:tcPr>
          <w:p w:rsidR="004C2469" w:rsidRPr="004C2469" w:rsidRDefault="004C2469" w:rsidP="004C2469">
            <w:pPr>
              <w:pStyle w:val="ListParagraph"/>
              <w:ind w:left="0"/>
              <w:rPr>
                <w:rFonts w:ascii="Verdana" w:hAnsi="Verdana"/>
                <w:b/>
                <w:sz w:val="20"/>
              </w:rPr>
            </w:pPr>
            <w:r w:rsidRPr="004C2469">
              <w:rPr>
                <w:rFonts w:ascii="Verdana" w:hAnsi="Verdana"/>
                <w:b/>
                <w:sz w:val="20"/>
              </w:rPr>
              <w:t>Extensions</w:t>
            </w:r>
          </w:p>
        </w:tc>
        <w:tc>
          <w:tcPr>
            <w:tcW w:w="3119" w:type="dxa"/>
          </w:tcPr>
          <w:p w:rsidR="004C2469" w:rsidRPr="004C2469" w:rsidRDefault="004C2469" w:rsidP="004C2469">
            <w:pPr>
              <w:pStyle w:val="ListParagraph"/>
              <w:ind w:left="0"/>
              <w:rPr>
                <w:rFonts w:ascii="Verdana" w:hAnsi="Verdana"/>
                <w:sz w:val="20"/>
              </w:rPr>
            </w:pPr>
            <w:r w:rsidRPr="004C2469">
              <w:rPr>
                <w:rFonts w:ascii="Verdana" w:hAnsi="Verdana"/>
                <w:sz w:val="20"/>
              </w:rPr>
              <w:t>Can only be applied to the final summative due date</w:t>
            </w:r>
          </w:p>
        </w:tc>
        <w:tc>
          <w:tcPr>
            <w:tcW w:w="3067" w:type="dxa"/>
          </w:tcPr>
          <w:p w:rsidR="004C2469" w:rsidRPr="004C2469" w:rsidRDefault="004C2469" w:rsidP="004C2469">
            <w:pPr>
              <w:pStyle w:val="ListParagraph"/>
              <w:ind w:left="0"/>
              <w:rPr>
                <w:rFonts w:ascii="Verdana" w:hAnsi="Verdana"/>
                <w:sz w:val="20"/>
              </w:rPr>
            </w:pPr>
            <w:r w:rsidRPr="004C2469">
              <w:rPr>
                <w:rFonts w:ascii="Verdana" w:hAnsi="Verdana"/>
                <w:sz w:val="20"/>
              </w:rPr>
              <w:t>Can be granted for sub-component parts if appropriate</w:t>
            </w:r>
          </w:p>
        </w:tc>
      </w:tr>
      <w:tr w:rsidR="004C2469" w:rsidRPr="004C2469" w:rsidTr="00055205">
        <w:tc>
          <w:tcPr>
            <w:tcW w:w="2110" w:type="dxa"/>
          </w:tcPr>
          <w:p w:rsidR="004C2469" w:rsidRPr="004C2469" w:rsidRDefault="004C2469" w:rsidP="004C2469">
            <w:pPr>
              <w:pStyle w:val="ListParagraph"/>
              <w:ind w:left="0"/>
              <w:rPr>
                <w:rFonts w:ascii="Verdana" w:hAnsi="Verdana"/>
                <w:b/>
                <w:sz w:val="20"/>
              </w:rPr>
            </w:pPr>
            <w:r w:rsidRPr="004C2469">
              <w:rPr>
                <w:rFonts w:ascii="Verdana" w:hAnsi="Verdana"/>
                <w:b/>
                <w:sz w:val="20"/>
              </w:rPr>
              <w:t>Resits</w:t>
            </w:r>
          </w:p>
        </w:tc>
        <w:tc>
          <w:tcPr>
            <w:tcW w:w="3119" w:type="dxa"/>
          </w:tcPr>
          <w:p w:rsidR="004C2469" w:rsidRPr="004C2469" w:rsidRDefault="004C2469" w:rsidP="004C2469">
            <w:pPr>
              <w:pStyle w:val="ListParagraph"/>
              <w:ind w:left="0"/>
              <w:rPr>
                <w:rFonts w:ascii="Verdana" w:hAnsi="Verdana"/>
                <w:sz w:val="20"/>
              </w:rPr>
            </w:pPr>
            <w:r w:rsidRPr="004C2469">
              <w:rPr>
                <w:rFonts w:ascii="Verdana" w:hAnsi="Verdana"/>
                <w:sz w:val="20"/>
              </w:rPr>
              <w:t>Only available if the assignment is failed overall</w:t>
            </w:r>
          </w:p>
        </w:tc>
        <w:tc>
          <w:tcPr>
            <w:tcW w:w="3067" w:type="dxa"/>
          </w:tcPr>
          <w:p w:rsidR="004C2469" w:rsidRPr="004C2469" w:rsidRDefault="004C2469" w:rsidP="004C2469">
            <w:pPr>
              <w:pStyle w:val="ListParagraph"/>
              <w:ind w:left="0"/>
              <w:rPr>
                <w:rFonts w:ascii="Verdana" w:hAnsi="Verdana"/>
                <w:sz w:val="20"/>
              </w:rPr>
            </w:pPr>
            <w:r w:rsidRPr="004C2469">
              <w:rPr>
                <w:rFonts w:ascii="Verdana" w:hAnsi="Verdana"/>
                <w:sz w:val="20"/>
              </w:rPr>
              <w:t>Only available if the assignment is failed overall</w:t>
            </w:r>
          </w:p>
        </w:tc>
      </w:tr>
      <w:tr w:rsidR="004C2469" w:rsidRPr="004C2469" w:rsidTr="00055205">
        <w:tc>
          <w:tcPr>
            <w:tcW w:w="2110" w:type="dxa"/>
          </w:tcPr>
          <w:p w:rsidR="004C2469" w:rsidRPr="004C2469" w:rsidRDefault="004C2469" w:rsidP="004C2469">
            <w:pPr>
              <w:pStyle w:val="ListParagraph"/>
              <w:ind w:left="0"/>
              <w:rPr>
                <w:rFonts w:ascii="Verdana" w:hAnsi="Verdana"/>
                <w:b/>
                <w:sz w:val="20"/>
              </w:rPr>
            </w:pPr>
            <w:r w:rsidRPr="004C2469">
              <w:rPr>
                <w:rFonts w:ascii="Verdana" w:hAnsi="Verdana"/>
                <w:b/>
                <w:sz w:val="20"/>
              </w:rPr>
              <w:t>Mitigating Circumstances</w:t>
            </w:r>
          </w:p>
        </w:tc>
        <w:tc>
          <w:tcPr>
            <w:tcW w:w="3119" w:type="dxa"/>
          </w:tcPr>
          <w:p w:rsidR="004C2469" w:rsidRPr="004C2469" w:rsidRDefault="004C2469" w:rsidP="004C2469">
            <w:pPr>
              <w:pStyle w:val="ListParagraph"/>
              <w:ind w:left="0"/>
              <w:rPr>
                <w:rFonts w:ascii="Verdana" w:hAnsi="Verdana"/>
                <w:sz w:val="20"/>
              </w:rPr>
            </w:pPr>
            <w:r w:rsidRPr="004C2469">
              <w:rPr>
                <w:rFonts w:ascii="Verdana" w:hAnsi="Verdana"/>
                <w:sz w:val="20"/>
              </w:rPr>
              <w:t>Only awarded in respect of the whole assignment where there is no engagement with any of the sub-components; cannot be applied to sub-component parts</w:t>
            </w:r>
          </w:p>
        </w:tc>
        <w:tc>
          <w:tcPr>
            <w:tcW w:w="3067" w:type="dxa"/>
          </w:tcPr>
          <w:p w:rsidR="004C2469" w:rsidRPr="004C2469" w:rsidRDefault="004C2469" w:rsidP="004C2469">
            <w:pPr>
              <w:pStyle w:val="ListParagraph"/>
              <w:ind w:left="0"/>
              <w:rPr>
                <w:rFonts w:ascii="Verdana" w:hAnsi="Verdana"/>
                <w:sz w:val="20"/>
              </w:rPr>
            </w:pPr>
            <w:r w:rsidRPr="004C2469">
              <w:rPr>
                <w:rFonts w:ascii="Verdana" w:hAnsi="Verdana"/>
                <w:sz w:val="20"/>
              </w:rPr>
              <w:t>Only awarded in respect of the whole assignment where there is no engagement with any of the sub-components; cannot be applied to sub-component parts</w:t>
            </w:r>
          </w:p>
        </w:tc>
      </w:tr>
    </w:tbl>
    <w:p w:rsidR="004C2469" w:rsidRPr="004C2469" w:rsidRDefault="004C2469" w:rsidP="004C2469">
      <w:pPr>
        <w:rPr>
          <w:rFonts w:ascii="Verdana" w:hAnsi="Verdana"/>
        </w:rPr>
      </w:pPr>
    </w:p>
    <w:sectPr w:rsidR="004C2469" w:rsidRPr="004C246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69" w:rsidRDefault="004C2469" w:rsidP="00A8670D">
      <w:pPr>
        <w:spacing w:after="0" w:line="240" w:lineRule="auto"/>
      </w:pPr>
      <w:r>
        <w:separator/>
      </w:r>
    </w:p>
  </w:endnote>
  <w:endnote w:type="continuationSeparator" w:id="0">
    <w:p w:rsidR="004C2469" w:rsidRDefault="004C2469" w:rsidP="00A8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69" w:rsidRDefault="004C2469" w:rsidP="00E47B61">
    <w:pPr>
      <w:pStyle w:val="Footer"/>
    </w:pPr>
    <w:r>
      <w:t>Mitigating Circumstances Guidance [July 2017] v2</w:t>
    </w:r>
    <w:r>
      <w:tab/>
    </w:r>
    <w:r>
      <w:tab/>
    </w:r>
    <w:sdt>
      <w:sdtPr>
        <w:id w:val="-8045447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520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69" w:rsidRDefault="004C2469" w:rsidP="00A8670D">
      <w:pPr>
        <w:spacing w:after="0" w:line="240" w:lineRule="auto"/>
      </w:pPr>
      <w:r>
        <w:separator/>
      </w:r>
    </w:p>
  </w:footnote>
  <w:footnote w:type="continuationSeparator" w:id="0">
    <w:p w:rsidR="004C2469" w:rsidRDefault="004C2469" w:rsidP="00A86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A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5F0E41"/>
    <w:multiLevelType w:val="multilevel"/>
    <w:tmpl w:val="0E9CF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0F7D4F"/>
    <w:multiLevelType w:val="hybridMultilevel"/>
    <w:tmpl w:val="1804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D6048"/>
    <w:multiLevelType w:val="hybridMultilevel"/>
    <w:tmpl w:val="DE9EE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AD0E40"/>
    <w:multiLevelType w:val="multilevel"/>
    <w:tmpl w:val="0E9CF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73588A"/>
    <w:multiLevelType w:val="hybridMultilevel"/>
    <w:tmpl w:val="C4AEC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513198"/>
    <w:multiLevelType w:val="multilevel"/>
    <w:tmpl w:val="0E9CF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B9"/>
    <w:rsid w:val="00041F66"/>
    <w:rsid w:val="00054901"/>
    <w:rsid w:val="00055205"/>
    <w:rsid w:val="00111A9D"/>
    <w:rsid w:val="00155D3E"/>
    <w:rsid w:val="00190564"/>
    <w:rsid w:val="001B2AB9"/>
    <w:rsid w:val="00242261"/>
    <w:rsid w:val="002711F0"/>
    <w:rsid w:val="004160D0"/>
    <w:rsid w:val="00445B63"/>
    <w:rsid w:val="004C2469"/>
    <w:rsid w:val="004D6EF2"/>
    <w:rsid w:val="00546360"/>
    <w:rsid w:val="005D5117"/>
    <w:rsid w:val="006061F9"/>
    <w:rsid w:val="006470A2"/>
    <w:rsid w:val="00695FED"/>
    <w:rsid w:val="007A1538"/>
    <w:rsid w:val="007A56B0"/>
    <w:rsid w:val="00811593"/>
    <w:rsid w:val="008B67B1"/>
    <w:rsid w:val="009609AC"/>
    <w:rsid w:val="009B12DB"/>
    <w:rsid w:val="00A6378D"/>
    <w:rsid w:val="00A8670D"/>
    <w:rsid w:val="00A91DD8"/>
    <w:rsid w:val="00AB513A"/>
    <w:rsid w:val="00B17BAD"/>
    <w:rsid w:val="00B41A9C"/>
    <w:rsid w:val="00B43622"/>
    <w:rsid w:val="00BF15BE"/>
    <w:rsid w:val="00C12396"/>
    <w:rsid w:val="00CF09C1"/>
    <w:rsid w:val="00D307BB"/>
    <w:rsid w:val="00D423B1"/>
    <w:rsid w:val="00D82738"/>
    <w:rsid w:val="00E2515B"/>
    <w:rsid w:val="00E47B61"/>
    <w:rsid w:val="00E537E3"/>
    <w:rsid w:val="00E57C78"/>
    <w:rsid w:val="00E71734"/>
    <w:rsid w:val="00E94CD3"/>
    <w:rsid w:val="00EE12D8"/>
    <w:rsid w:val="00F2711A"/>
    <w:rsid w:val="00F653A6"/>
    <w:rsid w:val="00F8039C"/>
    <w:rsid w:val="00FA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E03BC-3FDB-46C2-A9D6-DFA339FE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2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A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1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A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2A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2AB9"/>
    <w:pPr>
      <w:ind w:left="720"/>
      <w:contextualSpacing/>
    </w:pPr>
  </w:style>
  <w:style w:type="character" w:styleId="Hyperlink">
    <w:name w:val="Hyperlink"/>
    <w:basedOn w:val="DefaultParagraphFont"/>
    <w:uiPriority w:val="99"/>
    <w:unhideWhenUsed/>
    <w:rsid w:val="00A91DD8"/>
    <w:rPr>
      <w:color w:val="0000FF" w:themeColor="hyperlink"/>
      <w:u w:val="single"/>
    </w:rPr>
  </w:style>
  <w:style w:type="paragraph" w:styleId="BalloonText">
    <w:name w:val="Balloon Text"/>
    <w:basedOn w:val="Normal"/>
    <w:link w:val="BalloonTextChar"/>
    <w:uiPriority w:val="99"/>
    <w:semiHidden/>
    <w:unhideWhenUsed/>
    <w:rsid w:val="00A9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D8"/>
    <w:rPr>
      <w:rFonts w:ascii="Tahoma" w:hAnsi="Tahoma" w:cs="Tahoma"/>
      <w:sz w:val="16"/>
      <w:szCs w:val="16"/>
    </w:rPr>
  </w:style>
  <w:style w:type="paragraph" w:styleId="Header">
    <w:name w:val="header"/>
    <w:basedOn w:val="Normal"/>
    <w:link w:val="HeaderChar"/>
    <w:uiPriority w:val="99"/>
    <w:unhideWhenUsed/>
    <w:rsid w:val="00A86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70D"/>
  </w:style>
  <w:style w:type="paragraph" w:styleId="Footer">
    <w:name w:val="footer"/>
    <w:basedOn w:val="Normal"/>
    <w:link w:val="FooterChar"/>
    <w:uiPriority w:val="99"/>
    <w:unhideWhenUsed/>
    <w:rsid w:val="00A86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70D"/>
  </w:style>
  <w:style w:type="character" w:customStyle="1" w:styleId="Heading3Char">
    <w:name w:val="Heading 3 Char"/>
    <w:basedOn w:val="DefaultParagraphFont"/>
    <w:link w:val="Heading3"/>
    <w:uiPriority w:val="9"/>
    <w:rsid w:val="00E2515B"/>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E251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515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515B"/>
    <w:rPr>
      <w:rFonts w:eastAsiaTheme="minorEastAsia"/>
      <w:color w:val="5A5A5A" w:themeColor="text1" w:themeTint="A5"/>
      <w:spacing w:val="15"/>
    </w:rPr>
  </w:style>
  <w:style w:type="paragraph" w:styleId="TOCHeading">
    <w:name w:val="TOC Heading"/>
    <w:basedOn w:val="Heading1"/>
    <w:next w:val="Normal"/>
    <w:uiPriority w:val="39"/>
    <w:unhideWhenUsed/>
    <w:qFormat/>
    <w:rsid w:val="00E47B6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47B61"/>
    <w:pPr>
      <w:spacing w:after="100"/>
    </w:pPr>
  </w:style>
  <w:style w:type="paragraph" w:styleId="TOC2">
    <w:name w:val="toc 2"/>
    <w:basedOn w:val="Normal"/>
    <w:next w:val="Normal"/>
    <w:autoRedefine/>
    <w:uiPriority w:val="39"/>
    <w:unhideWhenUsed/>
    <w:rsid w:val="00E47B61"/>
    <w:pPr>
      <w:spacing w:after="100"/>
      <w:ind w:left="220"/>
    </w:pPr>
  </w:style>
  <w:style w:type="paragraph" w:styleId="TOC3">
    <w:name w:val="toc 3"/>
    <w:basedOn w:val="Normal"/>
    <w:next w:val="Normal"/>
    <w:autoRedefine/>
    <w:uiPriority w:val="39"/>
    <w:unhideWhenUsed/>
    <w:rsid w:val="00E47B61"/>
    <w:pPr>
      <w:spacing w:after="100"/>
      <w:ind w:left="440"/>
    </w:pPr>
  </w:style>
  <w:style w:type="character" w:styleId="CommentReference">
    <w:name w:val="annotation reference"/>
    <w:basedOn w:val="DefaultParagraphFont"/>
    <w:uiPriority w:val="99"/>
    <w:semiHidden/>
    <w:unhideWhenUsed/>
    <w:rsid w:val="005D5117"/>
    <w:rPr>
      <w:sz w:val="16"/>
      <w:szCs w:val="16"/>
    </w:rPr>
  </w:style>
  <w:style w:type="paragraph" w:styleId="CommentText">
    <w:name w:val="annotation text"/>
    <w:basedOn w:val="Normal"/>
    <w:link w:val="CommentTextChar"/>
    <w:uiPriority w:val="99"/>
    <w:semiHidden/>
    <w:unhideWhenUsed/>
    <w:rsid w:val="005D5117"/>
    <w:pPr>
      <w:spacing w:line="240" w:lineRule="auto"/>
    </w:pPr>
    <w:rPr>
      <w:sz w:val="20"/>
      <w:szCs w:val="20"/>
    </w:rPr>
  </w:style>
  <w:style w:type="character" w:customStyle="1" w:styleId="CommentTextChar">
    <w:name w:val="Comment Text Char"/>
    <w:basedOn w:val="DefaultParagraphFont"/>
    <w:link w:val="CommentText"/>
    <w:uiPriority w:val="99"/>
    <w:semiHidden/>
    <w:rsid w:val="005D5117"/>
    <w:rPr>
      <w:sz w:val="20"/>
      <w:szCs w:val="20"/>
    </w:rPr>
  </w:style>
  <w:style w:type="paragraph" w:styleId="CommentSubject">
    <w:name w:val="annotation subject"/>
    <w:basedOn w:val="CommentText"/>
    <w:next w:val="CommentText"/>
    <w:link w:val="CommentSubjectChar"/>
    <w:uiPriority w:val="99"/>
    <w:semiHidden/>
    <w:unhideWhenUsed/>
    <w:rsid w:val="005D5117"/>
    <w:rPr>
      <w:b/>
      <w:bCs/>
    </w:rPr>
  </w:style>
  <w:style w:type="character" w:customStyle="1" w:styleId="CommentSubjectChar">
    <w:name w:val="Comment Subject Char"/>
    <w:basedOn w:val="CommentTextChar"/>
    <w:link w:val="CommentSubject"/>
    <w:uiPriority w:val="99"/>
    <w:semiHidden/>
    <w:rsid w:val="005D5117"/>
    <w:rPr>
      <w:b/>
      <w:bCs/>
      <w:sz w:val="20"/>
      <w:szCs w:val="20"/>
    </w:rPr>
  </w:style>
  <w:style w:type="table" w:styleId="TableGrid">
    <w:name w:val="Table Grid"/>
    <w:basedOn w:val="TableNormal"/>
    <w:uiPriority w:val="39"/>
    <w:rsid w:val="004C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le.northampton.ac.uk/bbcswebdav/xid-1061261_1" TargetMode="External"/><Relationship Id="rId5" Type="http://schemas.openxmlformats.org/officeDocument/2006/relationships/webSettings" Target="webSettings.xml"/><Relationship Id="rId10" Type="http://schemas.openxmlformats.org/officeDocument/2006/relationships/hyperlink" Target="https://nile.northampton.ac.uk/bbcswebdav/xid-1061262_1" TargetMode="External"/><Relationship Id="rId4" Type="http://schemas.openxmlformats.org/officeDocument/2006/relationships/settings" Target="settings.xml"/><Relationship Id="rId9" Type="http://schemas.openxmlformats.org/officeDocument/2006/relationships/hyperlink" Target="https://nile.northampton.ac.uk/bbcswebdav/xid-1055462_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6D32-A2D4-4041-97C8-CF4DD94D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Farmer</dc:creator>
  <cp:lastModifiedBy>Rachel Maxwell</cp:lastModifiedBy>
  <cp:revision>2</cp:revision>
  <dcterms:created xsi:type="dcterms:W3CDTF">2017-09-12T08:36:00Z</dcterms:created>
  <dcterms:modified xsi:type="dcterms:W3CDTF">2017-09-12T08:36:00Z</dcterms:modified>
</cp:coreProperties>
</file>